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C4B" w:rsidRDefault="007147C7" w:rsidP="00054E0A">
      <w:pPr>
        <w:pStyle w:val="NoSpacing"/>
        <w:jc w:val="both"/>
        <w:rPr>
          <w:rFonts w:eastAsia="Times New Roman" w:cs="Arial"/>
          <w:b/>
          <w:bCs/>
          <w:szCs w:val="24"/>
        </w:rPr>
      </w:pPr>
    </w:p>
    <w:p w:rsidR="00BA5638" w:rsidRPr="00BA5638" w:rsidRDefault="007147C7" w:rsidP="00BA5638">
      <w:pPr>
        <w:spacing w:after="0" w:line="240" w:lineRule="auto"/>
        <w:jc w:val="both"/>
        <w:rPr>
          <w:rFonts w:ascii="Arial" w:eastAsia="Times New Roman" w:hAnsi="Arial" w:cs="Arial"/>
          <w:b/>
          <w:bCs/>
          <w:sz w:val="24"/>
          <w:szCs w:val="24"/>
        </w:rPr>
      </w:pPr>
      <w:r w:rsidRPr="00BA5638">
        <w:rPr>
          <w:rFonts w:ascii="Arial" w:eastAsia="Times New Roman" w:hAnsi="Arial" w:cs="Arial"/>
          <w:b/>
          <w:bCs/>
          <w:sz w:val="24"/>
          <w:szCs w:val="24"/>
        </w:rPr>
        <w:t>CITY DEAL EXECUTIVE AND STEWARDSHIP BOARD</w:t>
      </w:r>
    </w:p>
    <w:p w:rsidR="00BA5638" w:rsidRPr="00BA5638" w:rsidRDefault="007147C7" w:rsidP="00BA5638">
      <w:pPr>
        <w:spacing w:after="0" w:line="240" w:lineRule="auto"/>
        <w:rPr>
          <w:rFonts w:ascii="Arial" w:hAnsi="Arial" w:cs="Arial"/>
          <w:b/>
          <w:bCs/>
          <w:sz w:val="24"/>
          <w:szCs w:val="24"/>
        </w:rPr>
      </w:pPr>
    </w:p>
    <w:p w:rsidR="00BA5638" w:rsidRPr="00BA5638" w:rsidRDefault="007147C7" w:rsidP="00BA5638">
      <w:pPr>
        <w:spacing w:after="0" w:line="240" w:lineRule="auto"/>
        <w:rPr>
          <w:rFonts w:ascii="Arial" w:hAnsi="Arial" w:cs="Arial"/>
          <w:b/>
          <w:bCs/>
          <w:sz w:val="24"/>
          <w:szCs w:val="24"/>
        </w:rPr>
      </w:pPr>
      <w:r w:rsidRPr="00BA5638">
        <w:rPr>
          <w:rFonts w:ascii="Arial" w:hAnsi="Arial" w:cs="Arial"/>
          <w:b/>
          <w:sz w:val="24"/>
          <w:szCs w:val="24"/>
        </w:rPr>
        <w:t>Private and Confidential: No</w:t>
      </w:r>
    </w:p>
    <w:p w:rsidR="00BA5638" w:rsidRPr="00BA5638" w:rsidRDefault="007147C7" w:rsidP="00BA5638">
      <w:pPr>
        <w:spacing w:after="0" w:line="240" w:lineRule="auto"/>
        <w:rPr>
          <w:rFonts w:ascii="Arial" w:hAnsi="Arial" w:cs="Arial"/>
          <w:sz w:val="24"/>
          <w:szCs w:val="24"/>
        </w:rPr>
      </w:pPr>
    </w:p>
    <w:p w:rsidR="00BA5638" w:rsidRPr="00BA5638" w:rsidRDefault="007147C7" w:rsidP="00BA5638">
      <w:pPr>
        <w:spacing w:after="0" w:line="240" w:lineRule="auto"/>
        <w:rPr>
          <w:rFonts w:ascii="Arial" w:eastAsia="Times New Roman" w:hAnsi="Arial" w:cs="Arial"/>
          <w:b/>
          <w:sz w:val="24"/>
          <w:szCs w:val="24"/>
        </w:rPr>
      </w:pPr>
      <w:r w:rsidRPr="00BA5638">
        <w:rPr>
          <w:rFonts w:ascii="Arial" w:eastAsia="Times New Roman" w:hAnsi="Arial" w:cs="Arial"/>
          <w:b/>
          <w:sz w:val="24"/>
          <w:szCs w:val="24"/>
        </w:rPr>
        <w:fldChar w:fldCharType="begin"/>
      </w:r>
      <w:r w:rsidRPr="00BA5638">
        <w:rPr>
          <w:rFonts w:ascii="Arial" w:eastAsia="Times New Roman" w:hAnsi="Arial" w:cs="Arial"/>
          <w:b/>
          <w:sz w:val="24"/>
          <w:szCs w:val="24"/>
        </w:rPr>
        <w:instrText xml:space="preserve"> DOCPROPERTY  IssueTitle  \* MERGEFORMAT </w:instrText>
      </w:r>
      <w:r w:rsidRPr="00BA5638">
        <w:rPr>
          <w:rFonts w:ascii="Arial" w:eastAsia="Times New Roman" w:hAnsi="Arial" w:cs="Arial"/>
          <w:b/>
          <w:sz w:val="24"/>
          <w:szCs w:val="24"/>
        </w:rPr>
        <w:fldChar w:fldCharType="separate"/>
      </w:r>
      <w:r w:rsidRPr="00BA5638">
        <w:rPr>
          <w:rFonts w:ascii="Arial" w:eastAsia="Times New Roman" w:hAnsi="Arial" w:cs="Arial"/>
          <w:b/>
          <w:sz w:val="24"/>
          <w:szCs w:val="24"/>
        </w:rPr>
        <w:t xml:space="preserve">Finance </w:t>
      </w:r>
      <w:proofErr w:type="gramStart"/>
      <w:r w:rsidRPr="00BA5638">
        <w:rPr>
          <w:rFonts w:ascii="Arial" w:eastAsia="Times New Roman" w:hAnsi="Arial" w:cs="Arial"/>
          <w:b/>
          <w:sz w:val="24"/>
          <w:szCs w:val="24"/>
        </w:rPr>
        <w:t>Update  -</w:t>
      </w:r>
      <w:proofErr w:type="gramEnd"/>
      <w:r w:rsidRPr="00BA5638">
        <w:rPr>
          <w:rFonts w:ascii="Arial" w:eastAsia="Times New Roman" w:hAnsi="Arial" w:cs="Arial"/>
          <w:b/>
          <w:sz w:val="24"/>
          <w:szCs w:val="24"/>
        </w:rPr>
        <w:t xml:space="preserve"> Quarter 2 - July - September 2017</w:t>
      </w:r>
      <w:r w:rsidRPr="00BA5638">
        <w:rPr>
          <w:rFonts w:ascii="Arial" w:eastAsia="Times New Roman" w:hAnsi="Arial" w:cs="Arial"/>
          <w:b/>
          <w:sz w:val="24"/>
          <w:szCs w:val="24"/>
        </w:rPr>
        <w:fldChar w:fldCharType="end"/>
      </w:r>
    </w:p>
    <w:p w:rsidR="00BA5638" w:rsidRPr="00BA5638" w:rsidRDefault="00FC15E9" w:rsidP="00BA5638">
      <w:pPr>
        <w:spacing w:after="0" w:line="240" w:lineRule="auto"/>
        <w:rPr>
          <w:rFonts w:ascii="Arial" w:hAnsi="Arial" w:cs="Arial"/>
          <w:sz w:val="24"/>
          <w:szCs w:val="24"/>
        </w:rPr>
      </w:pPr>
      <w:r>
        <w:rPr>
          <w:rFonts w:ascii="Arial" w:hAnsi="Arial" w:cs="Arial"/>
          <w:sz w:val="24"/>
          <w:szCs w:val="24"/>
        </w:rPr>
        <w:t>(</w:t>
      </w:r>
      <w:r w:rsidR="007147C7" w:rsidRPr="00BA5638">
        <w:rPr>
          <w:rFonts w:ascii="Arial" w:hAnsi="Arial" w:cs="Arial"/>
          <w:sz w:val="24"/>
          <w:szCs w:val="24"/>
        </w:rPr>
        <w:t>Appendix A refers</w:t>
      </w:r>
      <w:r>
        <w:rPr>
          <w:rFonts w:ascii="Arial" w:hAnsi="Arial" w:cs="Arial"/>
          <w:sz w:val="24"/>
          <w:szCs w:val="24"/>
        </w:rPr>
        <w:t>)</w:t>
      </w:r>
    </w:p>
    <w:p w:rsidR="00BA5638" w:rsidRPr="00BA5638" w:rsidRDefault="007147C7" w:rsidP="00BA5638">
      <w:pPr>
        <w:spacing w:after="0" w:line="240" w:lineRule="auto"/>
        <w:ind w:right="-873"/>
        <w:rPr>
          <w:rFonts w:ascii="Arial" w:hAnsi="Arial" w:cs="Arial"/>
          <w:b/>
          <w:sz w:val="24"/>
          <w:szCs w:val="24"/>
        </w:rPr>
      </w:pPr>
    </w:p>
    <w:p w:rsidR="00BA5638" w:rsidRPr="00BA5638" w:rsidRDefault="007147C7" w:rsidP="00BA5638">
      <w:pPr>
        <w:spacing w:after="0" w:line="240" w:lineRule="auto"/>
        <w:ind w:right="-873"/>
        <w:rPr>
          <w:rFonts w:cs="Arial"/>
          <w:szCs w:val="24"/>
        </w:rPr>
      </w:pPr>
      <w:r w:rsidRPr="00BA5638">
        <w:rPr>
          <w:rFonts w:ascii="Arial" w:hAnsi="Arial" w:cs="Arial"/>
          <w:b/>
          <w:sz w:val="24"/>
          <w:szCs w:val="24"/>
        </w:rPr>
        <w:t xml:space="preserve">Report Authors: </w:t>
      </w:r>
    </w:p>
    <w:p w:rsidR="00BA5638" w:rsidRPr="00FC15E9" w:rsidRDefault="007147C7" w:rsidP="00BA5638">
      <w:pPr>
        <w:spacing w:after="0" w:line="240" w:lineRule="auto"/>
        <w:jc w:val="both"/>
        <w:rPr>
          <w:rFonts w:ascii="Arial" w:hAnsi="Arial" w:cs="Arial"/>
          <w:b/>
          <w:sz w:val="24"/>
          <w:szCs w:val="24"/>
        </w:rPr>
      </w:pPr>
      <w:r w:rsidRPr="00FC15E9">
        <w:rPr>
          <w:rFonts w:ascii="Arial" w:hAnsi="Arial" w:cs="Arial"/>
          <w:b/>
          <w:sz w:val="24"/>
          <w:szCs w:val="24"/>
        </w:rPr>
        <w:t xml:space="preserve">Joanne Ainsworth, Finance Advisor, Lancashire County Council, 01772 532358, email </w:t>
      </w:r>
      <w:hyperlink r:id="rId8" w:history="1">
        <w:r w:rsidRPr="00FC15E9">
          <w:rPr>
            <w:rFonts w:ascii="Arial" w:hAnsi="Arial" w:cs="Arial"/>
            <w:b/>
            <w:color w:val="0000FF" w:themeColor="hyperlink"/>
            <w:sz w:val="24"/>
            <w:u w:val="single"/>
          </w:rPr>
          <w:t>joanne.ainsworth@lancashire.gov.uk</w:t>
        </w:r>
      </w:hyperlink>
    </w:p>
    <w:p w:rsidR="00BA5638" w:rsidRPr="00BA5638" w:rsidRDefault="007147C7" w:rsidP="00BA5638">
      <w:pPr>
        <w:spacing w:after="0" w:line="240" w:lineRule="auto"/>
        <w:rPr>
          <w:rFonts w:ascii="Arial" w:hAnsi="Arial" w:cs="Arial"/>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027B77" w:rsidTr="00A34451">
        <w:tc>
          <w:tcPr>
            <w:tcW w:w="9180" w:type="dxa"/>
          </w:tcPr>
          <w:p w:rsidR="00BA5638" w:rsidRPr="00BA5638" w:rsidRDefault="007147C7" w:rsidP="00FC15E9">
            <w:pPr>
              <w:tabs>
                <w:tab w:val="center" w:pos="4513"/>
                <w:tab w:val="right" w:pos="9026"/>
              </w:tabs>
              <w:spacing w:after="0" w:line="240" w:lineRule="auto"/>
              <w:rPr>
                <w:rFonts w:ascii="Arial" w:hAnsi="Arial" w:cs="Arial"/>
                <w:sz w:val="24"/>
                <w:szCs w:val="24"/>
              </w:rPr>
            </w:pPr>
          </w:p>
          <w:p w:rsidR="00BA5638" w:rsidRDefault="007147C7" w:rsidP="00FC15E9">
            <w:pPr>
              <w:keepNext/>
              <w:keepLines/>
              <w:spacing w:after="0" w:line="240" w:lineRule="auto"/>
              <w:ind w:left="542" w:hanging="542"/>
              <w:outlineLvl w:val="5"/>
              <w:rPr>
                <w:rFonts w:ascii="Arial" w:eastAsiaTheme="majorEastAsia" w:hAnsi="Arial" w:cs="Arial"/>
                <w:b/>
                <w:sz w:val="24"/>
                <w:szCs w:val="24"/>
                <w:lang w:eastAsia="en-GB"/>
              </w:rPr>
            </w:pPr>
            <w:r w:rsidRPr="00BA5638">
              <w:rPr>
                <w:rFonts w:ascii="Arial" w:eastAsiaTheme="majorEastAsia" w:hAnsi="Arial" w:cs="Arial"/>
                <w:b/>
                <w:sz w:val="24"/>
                <w:szCs w:val="24"/>
                <w:lang w:eastAsia="en-GB"/>
              </w:rPr>
              <w:t>Executive Summary</w:t>
            </w:r>
          </w:p>
          <w:p w:rsidR="00FC15E9" w:rsidRPr="00BA5638" w:rsidRDefault="00FC15E9" w:rsidP="00FC15E9">
            <w:pPr>
              <w:keepNext/>
              <w:keepLines/>
              <w:spacing w:after="0" w:line="240" w:lineRule="auto"/>
              <w:ind w:left="542" w:hanging="542"/>
              <w:outlineLvl w:val="5"/>
              <w:rPr>
                <w:rFonts w:asciiTheme="majorHAnsi" w:eastAsiaTheme="majorEastAsia" w:hAnsiTheme="majorHAnsi" w:cstheme="majorBidi"/>
                <w:color w:val="243F60" w:themeColor="accent1" w:themeShade="7F"/>
                <w:sz w:val="24"/>
                <w:szCs w:val="24"/>
                <w:lang w:eastAsia="en-GB"/>
              </w:rPr>
            </w:pPr>
          </w:p>
          <w:p w:rsidR="00BA5638" w:rsidRPr="00BA5638" w:rsidRDefault="007147C7" w:rsidP="00FC15E9">
            <w:pPr>
              <w:spacing w:after="0" w:line="240" w:lineRule="auto"/>
              <w:jc w:val="both"/>
              <w:rPr>
                <w:rFonts w:ascii="Arial" w:hAnsi="Arial" w:cs="Arial"/>
                <w:sz w:val="24"/>
                <w:szCs w:val="24"/>
              </w:rPr>
            </w:pPr>
            <w:r w:rsidRPr="00BA5638">
              <w:rPr>
                <w:rFonts w:ascii="Arial" w:hAnsi="Arial" w:cs="Arial"/>
                <w:sz w:val="24"/>
                <w:szCs w:val="24"/>
              </w:rPr>
              <w:t xml:space="preserve">This report provides an update on the City Deal Infrastructure Delivery fund during Quarter 2; July – September 2017 and sets out the latest position going forward.  </w:t>
            </w:r>
          </w:p>
          <w:p w:rsidR="00FC15E9" w:rsidRDefault="00FC15E9" w:rsidP="00FC15E9">
            <w:pPr>
              <w:keepNext/>
              <w:keepLines/>
              <w:spacing w:after="0" w:line="240" w:lineRule="auto"/>
              <w:ind w:left="542" w:hanging="542"/>
              <w:outlineLvl w:val="4"/>
              <w:rPr>
                <w:rFonts w:ascii="Arial" w:eastAsiaTheme="majorEastAsia" w:hAnsi="Arial" w:cs="Arial"/>
                <w:b/>
                <w:sz w:val="24"/>
                <w:szCs w:val="24"/>
                <w:lang w:eastAsia="en-GB"/>
              </w:rPr>
            </w:pPr>
          </w:p>
          <w:p w:rsidR="00BA5638" w:rsidRDefault="007147C7" w:rsidP="00FC15E9">
            <w:pPr>
              <w:keepNext/>
              <w:keepLines/>
              <w:spacing w:after="0" w:line="240" w:lineRule="auto"/>
              <w:ind w:left="542" w:hanging="542"/>
              <w:outlineLvl w:val="4"/>
              <w:rPr>
                <w:rFonts w:ascii="Arial" w:eastAsiaTheme="majorEastAsia" w:hAnsi="Arial" w:cs="Arial"/>
                <w:b/>
                <w:sz w:val="24"/>
                <w:szCs w:val="24"/>
                <w:lang w:eastAsia="en-GB"/>
              </w:rPr>
            </w:pPr>
            <w:r w:rsidRPr="00BA5638">
              <w:rPr>
                <w:rFonts w:ascii="Arial" w:eastAsiaTheme="majorEastAsia" w:hAnsi="Arial" w:cs="Arial"/>
                <w:b/>
                <w:sz w:val="24"/>
                <w:szCs w:val="24"/>
                <w:lang w:eastAsia="en-GB"/>
              </w:rPr>
              <w:t>Recommendation</w:t>
            </w:r>
          </w:p>
          <w:p w:rsidR="00FC15E9" w:rsidRPr="00BA5638" w:rsidRDefault="00FC15E9" w:rsidP="00FC15E9">
            <w:pPr>
              <w:keepNext/>
              <w:keepLines/>
              <w:spacing w:after="0" w:line="240" w:lineRule="auto"/>
              <w:ind w:left="542" w:hanging="542"/>
              <w:outlineLvl w:val="4"/>
              <w:rPr>
                <w:rFonts w:ascii="Arial" w:eastAsiaTheme="majorEastAsia" w:hAnsi="Arial" w:cs="Arial"/>
                <w:color w:val="365F91" w:themeColor="accent1" w:themeShade="BF"/>
                <w:sz w:val="24"/>
                <w:szCs w:val="24"/>
                <w:lang w:eastAsia="en-GB"/>
              </w:rPr>
            </w:pPr>
          </w:p>
          <w:p w:rsidR="00BA5638" w:rsidRDefault="007147C7" w:rsidP="00FC15E9">
            <w:pPr>
              <w:spacing w:after="0" w:line="240" w:lineRule="auto"/>
              <w:rPr>
                <w:rFonts w:ascii="Arial" w:hAnsi="Arial" w:cs="Arial"/>
                <w:sz w:val="24"/>
                <w:szCs w:val="24"/>
              </w:rPr>
            </w:pPr>
            <w:r w:rsidRPr="00BA5638">
              <w:rPr>
                <w:rFonts w:ascii="Arial" w:hAnsi="Arial" w:cs="Arial"/>
                <w:sz w:val="24"/>
                <w:szCs w:val="24"/>
              </w:rPr>
              <w:t xml:space="preserve">The </w:t>
            </w:r>
            <w:r w:rsidR="00FC15E9">
              <w:rPr>
                <w:rFonts w:ascii="Arial" w:hAnsi="Arial" w:cs="Arial"/>
                <w:sz w:val="24"/>
                <w:szCs w:val="24"/>
              </w:rPr>
              <w:t xml:space="preserve">City Deal </w:t>
            </w:r>
            <w:r w:rsidRPr="00BA5638">
              <w:rPr>
                <w:rFonts w:ascii="Arial" w:hAnsi="Arial" w:cs="Arial"/>
                <w:sz w:val="24"/>
                <w:szCs w:val="24"/>
              </w:rPr>
              <w:t>E</w:t>
            </w:r>
            <w:r w:rsidR="00FC15E9">
              <w:rPr>
                <w:rFonts w:ascii="Arial" w:hAnsi="Arial" w:cs="Arial"/>
                <w:sz w:val="24"/>
                <w:szCs w:val="24"/>
              </w:rPr>
              <w:t xml:space="preserve">xecutive and </w:t>
            </w:r>
            <w:r w:rsidRPr="00BA5638">
              <w:rPr>
                <w:rFonts w:ascii="Arial" w:hAnsi="Arial" w:cs="Arial"/>
                <w:sz w:val="24"/>
                <w:szCs w:val="24"/>
              </w:rPr>
              <w:t>S</w:t>
            </w:r>
            <w:r w:rsidR="00FC15E9">
              <w:rPr>
                <w:rFonts w:ascii="Arial" w:hAnsi="Arial" w:cs="Arial"/>
                <w:sz w:val="24"/>
                <w:szCs w:val="24"/>
              </w:rPr>
              <w:t xml:space="preserve">tewardship </w:t>
            </w:r>
            <w:r w:rsidRPr="00BA5638">
              <w:rPr>
                <w:rFonts w:ascii="Arial" w:hAnsi="Arial" w:cs="Arial"/>
                <w:sz w:val="24"/>
                <w:szCs w:val="24"/>
              </w:rPr>
              <w:t>B</w:t>
            </w:r>
            <w:r w:rsidR="00FC15E9">
              <w:rPr>
                <w:rFonts w:ascii="Arial" w:hAnsi="Arial" w:cs="Arial"/>
                <w:sz w:val="24"/>
                <w:szCs w:val="24"/>
              </w:rPr>
              <w:t>oard</w:t>
            </w:r>
            <w:r w:rsidRPr="00BA5638">
              <w:rPr>
                <w:rFonts w:ascii="Arial" w:hAnsi="Arial" w:cs="Arial"/>
                <w:sz w:val="24"/>
                <w:szCs w:val="24"/>
              </w:rPr>
              <w:t xml:space="preserve"> is asked to:</w:t>
            </w:r>
          </w:p>
          <w:p w:rsidR="00FC15E9" w:rsidRPr="00BA5638" w:rsidRDefault="00FC15E9" w:rsidP="00FC15E9">
            <w:pPr>
              <w:spacing w:after="0" w:line="240" w:lineRule="auto"/>
              <w:rPr>
                <w:rFonts w:ascii="Arial" w:hAnsi="Arial" w:cs="Arial"/>
                <w:sz w:val="24"/>
                <w:szCs w:val="24"/>
              </w:rPr>
            </w:pPr>
          </w:p>
          <w:p w:rsidR="00BA5638" w:rsidRDefault="007147C7" w:rsidP="00FC15E9">
            <w:pPr>
              <w:numPr>
                <w:ilvl w:val="0"/>
                <w:numId w:val="5"/>
              </w:numPr>
              <w:spacing w:after="0" w:line="240" w:lineRule="auto"/>
              <w:contextualSpacing/>
              <w:rPr>
                <w:rFonts w:ascii="Arial" w:hAnsi="Arial" w:cs="Arial"/>
                <w:sz w:val="24"/>
                <w:szCs w:val="24"/>
              </w:rPr>
            </w:pPr>
            <w:r w:rsidRPr="00BA5638">
              <w:rPr>
                <w:rFonts w:ascii="Arial" w:hAnsi="Arial" w:cs="Arial"/>
                <w:sz w:val="24"/>
                <w:szCs w:val="24"/>
              </w:rPr>
              <w:t>Note the Quarter 2 Finance Update and</w:t>
            </w:r>
          </w:p>
          <w:p w:rsidR="00FC15E9" w:rsidRPr="00BA5638" w:rsidRDefault="00FC15E9" w:rsidP="00FC15E9">
            <w:pPr>
              <w:spacing w:after="0" w:line="240" w:lineRule="auto"/>
              <w:ind w:left="1080"/>
              <w:contextualSpacing/>
              <w:rPr>
                <w:rFonts w:ascii="Arial" w:hAnsi="Arial" w:cs="Arial"/>
                <w:sz w:val="24"/>
                <w:szCs w:val="24"/>
              </w:rPr>
            </w:pPr>
          </w:p>
          <w:p w:rsidR="00BA5638" w:rsidRDefault="007147C7" w:rsidP="00FC15E9">
            <w:pPr>
              <w:numPr>
                <w:ilvl w:val="0"/>
                <w:numId w:val="5"/>
              </w:numPr>
              <w:spacing w:after="0" w:line="240" w:lineRule="auto"/>
              <w:contextualSpacing/>
              <w:rPr>
                <w:rFonts w:ascii="Arial" w:hAnsi="Arial" w:cs="Arial"/>
                <w:sz w:val="24"/>
                <w:szCs w:val="24"/>
              </w:rPr>
            </w:pPr>
            <w:r w:rsidRPr="00BA5638">
              <w:rPr>
                <w:rFonts w:ascii="Arial" w:hAnsi="Arial" w:cs="Arial"/>
                <w:sz w:val="24"/>
                <w:szCs w:val="24"/>
              </w:rPr>
              <w:t>Note the key r</w:t>
            </w:r>
            <w:r w:rsidRPr="00BA5638">
              <w:rPr>
                <w:rFonts w:ascii="Arial" w:hAnsi="Arial" w:cs="Arial"/>
                <w:sz w:val="24"/>
                <w:szCs w:val="24"/>
              </w:rPr>
              <w:t xml:space="preserve">isks and issues going forward. </w:t>
            </w:r>
          </w:p>
          <w:p w:rsidR="00FC15E9" w:rsidRPr="00BA5638" w:rsidRDefault="00FC15E9" w:rsidP="00FC15E9">
            <w:pPr>
              <w:spacing w:after="0" w:line="240" w:lineRule="auto"/>
              <w:contextualSpacing/>
              <w:rPr>
                <w:rFonts w:ascii="Arial" w:hAnsi="Arial" w:cs="Arial"/>
                <w:sz w:val="24"/>
                <w:szCs w:val="24"/>
              </w:rPr>
            </w:pPr>
          </w:p>
        </w:tc>
      </w:tr>
    </w:tbl>
    <w:p w:rsidR="00BA5638" w:rsidRPr="00BA5638" w:rsidRDefault="007147C7" w:rsidP="00FC15E9">
      <w:pPr>
        <w:tabs>
          <w:tab w:val="center" w:pos="4513"/>
          <w:tab w:val="right" w:pos="9026"/>
        </w:tabs>
        <w:spacing w:after="0" w:line="240" w:lineRule="auto"/>
        <w:rPr>
          <w:rFonts w:ascii="Arial" w:hAnsi="Arial" w:cs="Arial"/>
          <w:sz w:val="24"/>
          <w:szCs w:val="24"/>
        </w:rPr>
      </w:pPr>
    </w:p>
    <w:p w:rsidR="00BA5638" w:rsidRPr="00BA5638" w:rsidRDefault="007147C7" w:rsidP="00FC15E9">
      <w:pPr>
        <w:spacing w:after="0" w:line="240" w:lineRule="auto"/>
        <w:rPr>
          <w:rFonts w:ascii="Arial" w:hAnsi="Arial" w:cs="Arial"/>
          <w:b/>
          <w:sz w:val="24"/>
          <w:szCs w:val="24"/>
        </w:rPr>
      </w:pPr>
      <w:r w:rsidRPr="00BA5638">
        <w:rPr>
          <w:rFonts w:ascii="Arial" w:hAnsi="Arial" w:cs="Arial"/>
          <w:b/>
          <w:sz w:val="24"/>
          <w:szCs w:val="24"/>
        </w:rPr>
        <w:t xml:space="preserve">Background and Advice </w:t>
      </w:r>
    </w:p>
    <w:p w:rsidR="00BA5638" w:rsidRPr="00BA5638" w:rsidRDefault="007147C7" w:rsidP="00FC15E9">
      <w:pPr>
        <w:spacing w:after="0" w:line="240" w:lineRule="auto"/>
        <w:rPr>
          <w:rFonts w:ascii="Arial" w:hAnsi="Arial" w:cs="Arial"/>
          <w:b/>
          <w:sz w:val="24"/>
          <w:szCs w:val="24"/>
        </w:rPr>
      </w:pPr>
      <w:r w:rsidRPr="00BA5638">
        <w:rPr>
          <w:rFonts w:ascii="Arial" w:hAnsi="Arial" w:cs="Arial"/>
          <w:b/>
          <w:sz w:val="24"/>
          <w:szCs w:val="24"/>
        </w:rPr>
        <w:t xml:space="preserve"> </w:t>
      </w:r>
    </w:p>
    <w:p w:rsidR="00BA5638" w:rsidRPr="00BA5638" w:rsidRDefault="007147C7" w:rsidP="00FC15E9">
      <w:pPr>
        <w:spacing w:after="0" w:line="240" w:lineRule="auto"/>
        <w:jc w:val="both"/>
        <w:rPr>
          <w:rFonts w:ascii="Arial" w:hAnsi="Arial" w:cs="Arial"/>
          <w:b/>
          <w:sz w:val="24"/>
          <w:szCs w:val="24"/>
          <w:u w:val="single"/>
        </w:rPr>
      </w:pPr>
      <w:r w:rsidRPr="00BA5638">
        <w:rPr>
          <w:rFonts w:ascii="Arial" w:hAnsi="Arial" w:cs="Arial"/>
          <w:b/>
          <w:sz w:val="24"/>
          <w:szCs w:val="24"/>
          <w:u w:val="single"/>
        </w:rPr>
        <w:t>YEAR 4, QUARTER 2 FINANCE MONITORING REPORT (attached)</w:t>
      </w:r>
    </w:p>
    <w:p w:rsidR="00BA5638" w:rsidRPr="00BA5638" w:rsidRDefault="007147C7" w:rsidP="00FC15E9">
      <w:pPr>
        <w:autoSpaceDE w:val="0"/>
        <w:autoSpaceDN w:val="0"/>
        <w:adjustRightInd w:val="0"/>
        <w:spacing w:after="0" w:line="240" w:lineRule="auto"/>
        <w:jc w:val="both"/>
        <w:rPr>
          <w:rFonts w:ascii="Arial" w:hAnsi="Arial" w:cs="Arial"/>
          <w:sz w:val="24"/>
          <w:szCs w:val="24"/>
        </w:rPr>
      </w:pPr>
    </w:p>
    <w:p w:rsidR="00BA5638" w:rsidRPr="00FC15E9" w:rsidRDefault="007147C7" w:rsidP="00FC15E9">
      <w:pPr>
        <w:spacing w:after="0" w:line="240" w:lineRule="auto"/>
        <w:rPr>
          <w:rFonts w:ascii="Arial" w:hAnsi="Arial" w:cs="Arial"/>
          <w:b/>
          <w:sz w:val="24"/>
          <w:szCs w:val="24"/>
        </w:rPr>
      </w:pPr>
      <w:r w:rsidRPr="00FC15E9">
        <w:rPr>
          <w:rFonts w:ascii="Arial" w:hAnsi="Arial" w:cs="Arial"/>
          <w:b/>
          <w:sz w:val="24"/>
          <w:szCs w:val="24"/>
        </w:rPr>
        <w:t>Introduction</w:t>
      </w:r>
    </w:p>
    <w:p w:rsidR="00FC15E9" w:rsidRPr="00FC15E9" w:rsidRDefault="00FC15E9" w:rsidP="00FC15E9">
      <w:pPr>
        <w:pStyle w:val="ListParagraph"/>
        <w:spacing w:after="0" w:line="240" w:lineRule="auto"/>
        <w:rPr>
          <w:rFonts w:ascii="Arial" w:hAnsi="Arial" w:cs="Arial"/>
          <w:b/>
          <w:sz w:val="24"/>
          <w:szCs w:val="24"/>
        </w:rPr>
      </w:pPr>
    </w:p>
    <w:p w:rsidR="00BA5638" w:rsidRPr="00FC15E9" w:rsidRDefault="007147C7" w:rsidP="00FC15E9">
      <w:pPr>
        <w:spacing w:after="0" w:line="240" w:lineRule="auto"/>
        <w:rPr>
          <w:rFonts w:ascii="Arial" w:hAnsi="Arial" w:cs="Arial"/>
          <w:sz w:val="24"/>
          <w:szCs w:val="24"/>
        </w:rPr>
      </w:pPr>
      <w:r w:rsidRPr="00FC15E9">
        <w:rPr>
          <w:rFonts w:ascii="Arial" w:hAnsi="Arial" w:cs="Arial"/>
          <w:sz w:val="24"/>
          <w:szCs w:val="24"/>
        </w:rPr>
        <w:t>The City Deal infrastructure delivery model ("the model") is a finance model showing the finance activity to date and</w:t>
      </w:r>
      <w:r w:rsidRPr="00FC15E9">
        <w:rPr>
          <w:rFonts w:ascii="Arial" w:hAnsi="Arial" w:cs="Arial"/>
          <w:sz w:val="24"/>
          <w:szCs w:val="24"/>
        </w:rPr>
        <w:t xml:space="preserve"> expected within the City Deal.   The model is split into two sections - resources being income to be received into the model from the various income streams and delivery programmes being expenditure paid or forecast to be paid on the infrastructure scheme</w:t>
      </w:r>
      <w:r w:rsidRPr="00FC15E9">
        <w:rPr>
          <w:rFonts w:ascii="Arial" w:hAnsi="Arial" w:cs="Arial"/>
          <w:sz w:val="24"/>
          <w:szCs w:val="24"/>
        </w:rPr>
        <w:t>s.  The City Deal is an accelerated delivery model based on the understanding that while the timing of resources coming into the model will be behind expenditure on schemes, requiring cash flow support from the County Council, there is an understanding and</w:t>
      </w:r>
      <w:r w:rsidRPr="00FC15E9">
        <w:rPr>
          <w:rFonts w:ascii="Arial" w:hAnsi="Arial" w:cs="Arial"/>
          <w:sz w:val="24"/>
          <w:szCs w:val="24"/>
        </w:rPr>
        <w:t xml:space="preserve"> commitment of the partners to keep the model balanced.  </w:t>
      </w:r>
    </w:p>
    <w:p w:rsidR="00FC15E9" w:rsidRPr="00FC15E9" w:rsidRDefault="00FC15E9" w:rsidP="00FC15E9">
      <w:pPr>
        <w:spacing w:after="0" w:line="240" w:lineRule="auto"/>
        <w:rPr>
          <w:rFonts w:ascii="Arial" w:hAnsi="Arial" w:cs="Arial"/>
          <w:sz w:val="24"/>
          <w:szCs w:val="24"/>
        </w:rPr>
      </w:pPr>
    </w:p>
    <w:p w:rsidR="00BA5638" w:rsidRPr="00FC15E9" w:rsidRDefault="007147C7" w:rsidP="00FC15E9">
      <w:pPr>
        <w:spacing w:after="0" w:line="240" w:lineRule="auto"/>
        <w:rPr>
          <w:rFonts w:ascii="Arial" w:hAnsi="Arial" w:cs="Arial"/>
          <w:sz w:val="24"/>
          <w:szCs w:val="24"/>
        </w:rPr>
      </w:pPr>
      <w:r w:rsidRPr="00FC15E9">
        <w:rPr>
          <w:rFonts w:ascii="Arial" w:hAnsi="Arial" w:cs="Arial"/>
          <w:sz w:val="24"/>
          <w:szCs w:val="24"/>
        </w:rPr>
        <w:t xml:space="preserve">It is recognised that the model is dynamic and that changes to the </w:t>
      </w:r>
      <w:proofErr w:type="gramStart"/>
      <w:r w:rsidRPr="00FC15E9">
        <w:rPr>
          <w:rFonts w:ascii="Arial" w:hAnsi="Arial" w:cs="Arial"/>
          <w:sz w:val="24"/>
          <w:szCs w:val="24"/>
        </w:rPr>
        <w:t>income  and</w:t>
      </w:r>
      <w:proofErr w:type="gramEnd"/>
      <w:r w:rsidRPr="00FC15E9">
        <w:rPr>
          <w:rFonts w:ascii="Arial" w:hAnsi="Arial" w:cs="Arial"/>
          <w:sz w:val="24"/>
          <w:szCs w:val="24"/>
        </w:rPr>
        <w:t xml:space="preserve"> expenditure in the model will occur over time. This is sustainable subject to maximum cash flow approvals being in </w:t>
      </w:r>
      <w:r w:rsidR="00FC15E9" w:rsidRPr="00FC15E9">
        <w:rPr>
          <w:rFonts w:ascii="Arial" w:hAnsi="Arial" w:cs="Arial"/>
          <w:sz w:val="24"/>
          <w:szCs w:val="24"/>
        </w:rPr>
        <w:t>place and not being breached.</w:t>
      </w:r>
    </w:p>
    <w:p w:rsidR="00FC15E9" w:rsidRPr="00FC15E9" w:rsidRDefault="00FC15E9" w:rsidP="00FC15E9">
      <w:pPr>
        <w:pStyle w:val="ListParagraph"/>
        <w:rPr>
          <w:rFonts w:ascii="Arial" w:hAnsi="Arial" w:cs="Arial"/>
          <w:sz w:val="24"/>
          <w:szCs w:val="24"/>
        </w:rPr>
      </w:pPr>
    </w:p>
    <w:p w:rsidR="00FC15E9" w:rsidRPr="00FC15E9" w:rsidRDefault="00FC15E9" w:rsidP="00FC15E9">
      <w:pPr>
        <w:pStyle w:val="ListParagraph"/>
        <w:spacing w:after="0" w:line="240" w:lineRule="auto"/>
        <w:rPr>
          <w:rFonts w:ascii="Arial" w:hAnsi="Arial" w:cs="Arial"/>
          <w:sz w:val="24"/>
          <w:szCs w:val="24"/>
        </w:rPr>
      </w:pPr>
    </w:p>
    <w:p w:rsidR="00BA5638" w:rsidRPr="00FC15E9" w:rsidRDefault="007147C7" w:rsidP="00FC15E9">
      <w:pPr>
        <w:spacing w:after="0" w:line="240" w:lineRule="auto"/>
        <w:rPr>
          <w:rFonts w:ascii="Arial" w:hAnsi="Arial" w:cs="Arial"/>
          <w:b/>
          <w:sz w:val="24"/>
          <w:szCs w:val="24"/>
        </w:rPr>
      </w:pPr>
      <w:r w:rsidRPr="00FC15E9">
        <w:rPr>
          <w:rFonts w:ascii="Arial" w:hAnsi="Arial" w:cs="Arial"/>
          <w:b/>
          <w:sz w:val="24"/>
          <w:szCs w:val="24"/>
        </w:rPr>
        <w:t>Key risks to the model</w:t>
      </w:r>
    </w:p>
    <w:p w:rsidR="00FC15E9" w:rsidRDefault="00FC15E9" w:rsidP="00FC15E9">
      <w:pPr>
        <w:spacing w:after="0" w:line="240" w:lineRule="auto"/>
        <w:rPr>
          <w:rFonts w:ascii="Arial" w:hAnsi="Arial" w:cs="Arial"/>
          <w:sz w:val="24"/>
          <w:szCs w:val="24"/>
        </w:rPr>
      </w:pPr>
    </w:p>
    <w:p w:rsidR="00BA5638" w:rsidRPr="00BA5638" w:rsidRDefault="007147C7" w:rsidP="00FC15E9">
      <w:pPr>
        <w:spacing w:after="0" w:line="240" w:lineRule="auto"/>
        <w:rPr>
          <w:rFonts w:ascii="Arial" w:hAnsi="Arial" w:cs="Arial"/>
          <w:b/>
          <w:sz w:val="24"/>
          <w:szCs w:val="24"/>
        </w:rPr>
      </w:pPr>
      <w:r w:rsidRPr="00BA5638">
        <w:rPr>
          <w:rFonts w:ascii="Arial" w:hAnsi="Arial" w:cs="Arial"/>
          <w:b/>
          <w:sz w:val="24"/>
          <w:szCs w:val="24"/>
        </w:rPr>
        <w:t xml:space="preserve">Resources </w:t>
      </w:r>
    </w:p>
    <w:p w:rsidR="00FC15E9" w:rsidRDefault="00FC15E9" w:rsidP="00FC15E9">
      <w:pPr>
        <w:spacing w:after="0" w:line="240" w:lineRule="auto"/>
        <w:rPr>
          <w:rFonts w:ascii="Arial" w:hAnsi="Arial" w:cs="Arial"/>
          <w:sz w:val="24"/>
          <w:szCs w:val="24"/>
        </w:rPr>
      </w:pPr>
    </w:p>
    <w:p w:rsidR="00BA5638" w:rsidRDefault="007147C7" w:rsidP="00FC15E9">
      <w:pPr>
        <w:spacing w:after="0" w:line="240" w:lineRule="auto"/>
        <w:rPr>
          <w:rFonts w:ascii="Arial" w:hAnsi="Arial" w:cs="Arial"/>
          <w:sz w:val="24"/>
          <w:szCs w:val="24"/>
        </w:rPr>
      </w:pPr>
      <w:r w:rsidRPr="00BA5638">
        <w:rPr>
          <w:rFonts w:ascii="Arial" w:hAnsi="Arial" w:cs="Arial"/>
          <w:sz w:val="24"/>
          <w:szCs w:val="24"/>
        </w:rPr>
        <w:t>Whilst most of the income to the model is fixed in commitment or capped amounts, the main risk (with the exclusion of changes to Government policy and how those might affect the mod</w:t>
      </w:r>
      <w:r w:rsidRPr="00BA5638">
        <w:rPr>
          <w:rFonts w:ascii="Arial" w:hAnsi="Arial" w:cs="Arial"/>
          <w:sz w:val="24"/>
          <w:szCs w:val="24"/>
        </w:rPr>
        <w:t xml:space="preserve">el, which are being considered by the City Deal Executive and Stewardship Board) to the model in terms of income, is certainty of securing developer contributions in line with the expectations at the outset of the City Deal as noted above. </w:t>
      </w:r>
    </w:p>
    <w:p w:rsidR="00FC15E9" w:rsidRPr="00BA5638" w:rsidRDefault="00FC15E9" w:rsidP="00FC15E9">
      <w:pPr>
        <w:spacing w:after="0" w:line="240" w:lineRule="auto"/>
        <w:rPr>
          <w:rFonts w:ascii="Arial" w:hAnsi="Arial" w:cs="Arial"/>
          <w:sz w:val="24"/>
          <w:szCs w:val="24"/>
        </w:rPr>
      </w:pPr>
    </w:p>
    <w:p w:rsidR="00BA5638" w:rsidRDefault="007147C7" w:rsidP="00FC15E9">
      <w:pPr>
        <w:spacing w:after="0" w:line="240" w:lineRule="auto"/>
        <w:rPr>
          <w:rFonts w:ascii="Arial" w:hAnsi="Arial" w:cs="Arial"/>
          <w:sz w:val="24"/>
          <w:szCs w:val="24"/>
        </w:rPr>
      </w:pPr>
      <w:r w:rsidRPr="00BA5638">
        <w:rPr>
          <w:rFonts w:ascii="Arial" w:hAnsi="Arial" w:cs="Arial"/>
          <w:sz w:val="24"/>
          <w:szCs w:val="24"/>
        </w:rPr>
        <w:t>The total o</w:t>
      </w:r>
      <w:r w:rsidRPr="00BA5638">
        <w:rPr>
          <w:rFonts w:ascii="Arial" w:hAnsi="Arial" w:cs="Arial"/>
          <w:sz w:val="24"/>
          <w:szCs w:val="24"/>
        </w:rPr>
        <w:t>f these in the current model is £111.656m after building in increased rates and the modelling of those sites / units which will attract CIL and other contributions. Following interim findings of the Resources Review, undertaken by external consultants, £13</w:t>
      </w:r>
      <w:r w:rsidRPr="00BA5638">
        <w:rPr>
          <w:rFonts w:ascii="Arial" w:hAnsi="Arial" w:cs="Arial"/>
          <w:sz w:val="24"/>
          <w:szCs w:val="24"/>
        </w:rPr>
        <w:t>.425m of this is now expected to come into the model in the “run-on” period of years 11-15, due to reported slippage in sites being brought forward for development. This also has an impact on the period of time that LCC will have to cash flow the City Deal</w:t>
      </w:r>
      <w:r w:rsidRPr="00BA5638">
        <w:rPr>
          <w:rFonts w:ascii="Arial" w:hAnsi="Arial" w:cs="Arial"/>
          <w:sz w:val="24"/>
          <w:szCs w:val="24"/>
        </w:rPr>
        <w:t xml:space="preserve"> over and the result</w:t>
      </w:r>
      <w:r w:rsidR="00FC15E9">
        <w:rPr>
          <w:rFonts w:ascii="Arial" w:hAnsi="Arial" w:cs="Arial"/>
          <w:sz w:val="24"/>
          <w:szCs w:val="24"/>
        </w:rPr>
        <w:t>ing finance charges incurred.</w:t>
      </w:r>
    </w:p>
    <w:p w:rsidR="00FC15E9" w:rsidRPr="00BA5638" w:rsidRDefault="00FC15E9" w:rsidP="00FC15E9">
      <w:pPr>
        <w:spacing w:after="0" w:line="240" w:lineRule="auto"/>
        <w:rPr>
          <w:rFonts w:ascii="Arial" w:hAnsi="Arial" w:cs="Arial"/>
          <w:sz w:val="24"/>
          <w:szCs w:val="24"/>
        </w:rPr>
      </w:pPr>
    </w:p>
    <w:p w:rsidR="00BA5638" w:rsidRDefault="007147C7" w:rsidP="007147C7">
      <w:pPr>
        <w:spacing w:after="0" w:line="240" w:lineRule="auto"/>
        <w:rPr>
          <w:rFonts w:ascii="Arial" w:hAnsi="Arial" w:cs="Arial"/>
          <w:sz w:val="24"/>
          <w:szCs w:val="24"/>
        </w:rPr>
      </w:pPr>
      <w:r w:rsidRPr="00BA5638">
        <w:rPr>
          <w:rFonts w:ascii="Arial" w:hAnsi="Arial" w:cs="Arial"/>
          <w:sz w:val="24"/>
          <w:szCs w:val="24"/>
        </w:rPr>
        <w:t>While there is more certainty with regard to the CIL element of developer contributions, within this total figure of £111.656m there is also £54.097m which relates to “other developer contributions”,</w:t>
      </w:r>
      <w:r w:rsidRPr="00BA5638">
        <w:rPr>
          <w:rFonts w:ascii="Arial" w:hAnsi="Arial" w:cs="Arial"/>
          <w:sz w:val="24"/>
          <w:szCs w:val="24"/>
        </w:rPr>
        <w:t xml:space="preserve"> previously referred to as CIL Plus, and which includes monies payable through, for example, section 106/ 278 agreements. It should be noted that to date £36.513m of these have already been secured leaving an amount of £17.584m still to be sought. This rep</w:t>
      </w:r>
      <w:r w:rsidRPr="00BA5638">
        <w:rPr>
          <w:rFonts w:ascii="Arial" w:hAnsi="Arial" w:cs="Arial"/>
          <w:sz w:val="24"/>
          <w:szCs w:val="24"/>
        </w:rPr>
        <w:t>resents a risk to the model remaining in balance as should these not be secured, expenditure and resource forecasts will not remain aligned. The issues relating to the agreed s106/s278 monies and the linking to delivery of schemes is addressed below and is</w:t>
      </w:r>
      <w:r w:rsidRPr="00BA5638">
        <w:rPr>
          <w:rFonts w:ascii="Arial" w:hAnsi="Arial" w:cs="Arial"/>
          <w:sz w:val="24"/>
          <w:szCs w:val="24"/>
        </w:rPr>
        <w:t xml:space="preserve"> the subject of ongoing work.  There is also the risk that a renegotiation of a planning application for a key site which is reporting a secured s106 agreement will not realise as much income to the model once the new application is factored.  Work is ongo</w:t>
      </w:r>
      <w:r w:rsidRPr="00BA5638">
        <w:rPr>
          <w:rFonts w:ascii="Arial" w:hAnsi="Arial" w:cs="Arial"/>
          <w:sz w:val="24"/>
          <w:szCs w:val="24"/>
        </w:rPr>
        <w:t>ing to understand the effect on the model of t</w:t>
      </w:r>
      <w:r>
        <w:rPr>
          <w:rFonts w:ascii="Arial" w:hAnsi="Arial" w:cs="Arial"/>
          <w:sz w:val="24"/>
          <w:szCs w:val="24"/>
        </w:rPr>
        <w:t>he suggested new application.</w:t>
      </w:r>
    </w:p>
    <w:p w:rsidR="007147C7" w:rsidRPr="00BA5638" w:rsidRDefault="007147C7" w:rsidP="007147C7">
      <w:pPr>
        <w:spacing w:after="0" w:line="240" w:lineRule="auto"/>
        <w:rPr>
          <w:rFonts w:ascii="Arial" w:hAnsi="Arial" w:cs="Arial"/>
          <w:sz w:val="24"/>
          <w:szCs w:val="24"/>
        </w:rPr>
      </w:pPr>
    </w:p>
    <w:p w:rsidR="00BA5638" w:rsidRDefault="007147C7" w:rsidP="007147C7">
      <w:pPr>
        <w:spacing w:after="0" w:line="240" w:lineRule="auto"/>
        <w:rPr>
          <w:rFonts w:ascii="Arial" w:eastAsia="Times New Roman" w:hAnsi="Arial" w:cs="Arial"/>
          <w:sz w:val="24"/>
          <w:szCs w:val="24"/>
          <w:lang w:eastAsia="en-GB"/>
        </w:rPr>
      </w:pPr>
      <w:r w:rsidRPr="00BA5638">
        <w:rPr>
          <w:rFonts w:ascii="Arial" w:hAnsi="Arial" w:cs="Arial"/>
          <w:sz w:val="24"/>
          <w:szCs w:val="24"/>
        </w:rPr>
        <w:t>There are also changes to government policies proposed relating to CIL, NHB and business rates along with a housing white paper – all of which have the potential to undermin</w:t>
      </w:r>
      <w:r w:rsidRPr="00BA5638">
        <w:rPr>
          <w:rFonts w:ascii="Arial" w:hAnsi="Arial" w:cs="Arial"/>
          <w:sz w:val="24"/>
          <w:szCs w:val="24"/>
        </w:rPr>
        <w:t xml:space="preserve">e the assumptions currently in the model.  These have been considered in the Resources Review work. To date only the NHB changes have been confirmed.  In short the changes are from 2018/19 for NHB being paid for 4 years instead of 6 per house. </w:t>
      </w:r>
      <w:r w:rsidRPr="00BA5638">
        <w:rPr>
          <w:rFonts w:ascii="Arial" w:eastAsia="Times New Roman" w:hAnsi="Arial" w:cs="Arial"/>
          <w:sz w:val="24"/>
          <w:szCs w:val="24"/>
          <w:lang w:eastAsia="en-GB"/>
        </w:rPr>
        <w:t>The impact o</w:t>
      </w:r>
      <w:r w:rsidRPr="00BA5638">
        <w:rPr>
          <w:rFonts w:ascii="Arial" w:eastAsia="Times New Roman" w:hAnsi="Arial" w:cs="Arial"/>
          <w:sz w:val="24"/>
          <w:szCs w:val="24"/>
          <w:lang w:eastAsia="en-GB"/>
        </w:rPr>
        <w:t>n the current 10 year model would be c£9m with no mitigation. Over a 15 year period with the NHB reduction, the model would continue to be adversely impacted.</w:t>
      </w:r>
    </w:p>
    <w:p w:rsidR="007147C7" w:rsidRDefault="007147C7" w:rsidP="007147C7">
      <w:pPr>
        <w:spacing w:after="0" w:line="240" w:lineRule="auto"/>
        <w:rPr>
          <w:rFonts w:ascii="Arial" w:hAnsi="Arial" w:cs="Arial"/>
          <w:sz w:val="24"/>
          <w:szCs w:val="24"/>
        </w:rPr>
      </w:pPr>
    </w:p>
    <w:p w:rsidR="00BA5638" w:rsidRPr="00BA5638" w:rsidRDefault="007147C7" w:rsidP="007147C7">
      <w:pPr>
        <w:spacing w:after="0" w:line="240" w:lineRule="auto"/>
        <w:rPr>
          <w:rFonts w:ascii="Arial" w:hAnsi="Arial" w:cs="Arial"/>
          <w:b/>
          <w:sz w:val="24"/>
          <w:szCs w:val="24"/>
        </w:rPr>
      </w:pPr>
      <w:r w:rsidRPr="00BA5638">
        <w:rPr>
          <w:rFonts w:ascii="Arial" w:hAnsi="Arial" w:cs="Arial"/>
          <w:b/>
          <w:sz w:val="24"/>
          <w:szCs w:val="24"/>
        </w:rPr>
        <w:t>Expenditure</w:t>
      </w:r>
    </w:p>
    <w:p w:rsidR="007147C7" w:rsidRDefault="007147C7" w:rsidP="007147C7">
      <w:pPr>
        <w:spacing w:after="0" w:line="240" w:lineRule="auto"/>
        <w:contextualSpacing/>
        <w:rPr>
          <w:rFonts w:ascii="Arial" w:hAnsi="Arial" w:cs="Arial"/>
          <w:sz w:val="24"/>
          <w:szCs w:val="24"/>
        </w:rPr>
      </w:pPr>
    </w:p>
    <w:p w:rsidR="00BA5638" w:rsidRPr="00BA5638" w:rsidRDefault="007147C7" w:rsidP="007147C7">
      <w:pPr>
        <w:spacing w:after="0" w:line="240" w:lineRule="auto"/>
        <w:contextualSpacing/>
        <w:rPr>
          <w:rFonts w:ascii="Arial" w:hAnsi="Arial" w:cs="Arial"/>
          <w:sz w:val="24"/>
          <w:szCs w:val="24"/>
        </w:rPr>
      </w:pPr>
      <w:r w:rsidRPr="00BA5638">
        <w:rPr>
          <w:rFonts w:ascii="Arial" w:hAnsi="Arial" w:cs="Arial"/>
          <w:sz w:val="24"/>
          <w:szCs w:val="24"/>
        </w:rPr>
        <w:t>All agreed expenditure changes and slippages have been included in the model and item</w:t>
      </w:r>
      <w:r w:rsidRPr="00BA5638">
        <w:rPr>
          <w:rFonts w:ascii="Arial" w:hAnsi="Arial" w:cs="Arial"/>
          <w:sz w:val="24"/>
          <w:szCs w:val="24"/>
        </w:rPr>
        <w:t xml:space="preserve">s to be agreed at this meeting will be reflected in future models once agreed.  </w:t>
      </w:r>
    </w:p>
    <w:p w:rsidR="00BA5638" w:rsidRPr="00BA5638" w:rsidRDefault="007147C7" w:rsidP="007147C7">
      <w:pPr>
        <w:spacing w:after="0" w:line="240" w:lineRule="auto"/>
        <w:contextualSpacing/>
        <w:rPr>
          <w:rFonts w:ascii="Arial" w:hAnsi="Arial" w:cs="Arial"/>
          <w:sz w:val="24"/>
          <w:szCs w:val="24"/>
        </w:rPr>
      </w:pPr>
      <w:r w:rsidRPr="00BA5638">
        <w:rPr>
          <w:rFonts w:ascii="Arial" w:hAnsi="Arial" w:cs="Arial"/>
          <w:sz w:val="24"/>
          <w:szCs w:val="24"/>
        </w:rPr>
        <w:lastRenderedPageBreak/>
        <w:t>The Executive and Stewardship Board considered, at its September 2017 meeting, a report outlining current estimates for PWD and EWLR and a report on this item appears elsewher</w:t>
      </w:r>
      <w:r w:rsidRPr="00BA5638">
        <w:rPr>
          <w:rFonts w:ascii="Arial" w:hAnsi="Arial" w:cs="Arial"/>
          <w:sz w:val="24"/>
          <w:szCs w:val="24"/>
        </w:rPr>
        <w:t>e on this agenda. The current IDF position does not reflect revised PWD cost estimates or mitigation of meeting these costs to ensure the model remains balanced and within the maximum</w:t>
      </w:r>
      <w:r>
        <w:rPr>
          <w:rFonts w:ascii="Arial" w:hAnsi="Arial" w:cs="Arial"/>
          <w:sz w:val="24"/>
          <w:szCs w:val="24"/>
        </w:rPr>
        <w:t xml:space="preserve"> allowed cash flow position.</w:t>
      </w:r>
    </w:p>
    <w:p w:rsidR="007147C7" w:rsidRDefault="007147C7" w:rsidP="007147C7">
      <w:pPr>
        <w:spacing w:after="0" w:line="240" w:lineRule="auto"/>
        <w:rPr>
          <w:rFonts w:ascii="Arial" w:hAnsi="Arial" w:cs="Arial"/>
          <w:sz w:val="24"/>
          <w:szCs w:val="24"/>
        </w:rPr>
      </w:pPr>
    </w:p>
    <w:p w:rsidR="00BA5638" w:rsidRPr="00BA5638" w:rsidRDefault="007147C7" w:rsidP="007147C7">
      <w:pPr>
        <w:spacing w:after="0" w:line="240" w:lineRule="auto"/>
        <w:rPr>
          <w:rFonts w:ascii="Arial" w:hAnsi="Arial" w:cs="Arial"/>
          <w:sz w:val="24"/>
          <w:szCs w:val="24"/>
        </w:rPr>
      </w:pPr>
      <w:r w:rsidRPr="00BA5638">
        <w:rPr>
          <w:rFonts w:ascii="Arial" w:hAnsi="Arial" w:cs="Arial"/>
          <w:sz w:val="24"/>
          <w:szCs w:val="24"/>
        </w:rPr>
        <w:t>Scheme estimates set out in the mod</w:t>
      </w:r>
      <w:r w:rsidRPr="00BA5638">
        <w:rPr>
          <w:rFonts w:ascii="Arial" w:hAnsi="Arial" w:cs="Arial"/>
          <w:sz w:val="24"/>
          <w:szCs w:val="24"/>
        </w:rPr>
        <w:t>el continue to be refined and tested as schemes are subject to detailed design, preparation of cost estimates and tendering prior to implementation. The Infrastructure Delivery Steering Group has a process in place to ensure that final costs are scrutinise</w:t>
      </w:r>
      <w:r w:rsidRPr="00BA5638">
        <w:rPr>
          <w:rFonts w:ascii="Arial" w:hAnsi="Arial" w:cs="Arial"/>
          <w:sz w:val="24"/>
          <w:szCs w:val="24"/>
        </w:rPr>
        <w:t>d prior to approval and schemes are fully f</w:t>
      </w:r>
      <w:r>
        <w:rPr>
          <w:rFonts w:ascii="Arial" w:hAnsi="Arial" w:cs="Arial"/>
          <w:sz w:val="24"/>
          <w:szCs w:val="24"/>
        </w:rPr>
        <w:t>unded prior to implementation.</w:t>
      </w:r>
    </w:p>
    <w:p w:rsidR="007147C7" w:rsidRDefault="007147C7" w:rsidP="007147C7">
      <w:pPr>
        <w:spacing w:after="0" w:line="240" w:lineRule="auto"/>
        <w:rPr>
          <w:rFonts w:ascii="Arial" w:hAnsi="Arial" w:cs="Arial"/>
          <w:sz w:val="24"/>
          <w:szCs w:val="24"/>
        </w:rPr>
      </w:pPr>
    </w:p>
    <w:p w:rsidR="00BA5638" w:rsidRPr="00BA5638" w:rsidRDefault="007147C7" w:rsidP="007147C7">
      <w:pPr>
        <w:spacing w:after="0" w:line="240" w:lineRule="auto"/>
        <w:rPr>
          <w:rFonts w:ascii="Arial" w:hAnsi="Arial" w:cs="Arial"/>
          <w:sz w:val="24"/>
          <w:szCs w:val="24"/>
        </w:rPr>
      </w:pPr>
      <w:r w:rsidRPr="00BA5638">
        <w:rPr>
          <w:rFonts w:ascii="Arial" w:hAnsi="Arial" w:cs="Arial"/>
          <w:sz w:val="24"/>
          <w:szCs w:val="24"/>
        </w:rPr>
        <w:t xml:space="preserve">It should be noted that the expenditure lines are indicative budgets allocations only – the amount needed and available for each scheme as it comes forward will depend on the </w:t>
      </w:r>
      <w:r w:rsidRPr="00BA5638">
        <w:rPr>
          <w:rFonts w:ascii="Arial" w:hAnsi="Arial" w:cs="Arial"/>
          <w:sz w:val="24"/>
          <w:szCs w:val="24"/>
        </w:rPr>
        <w:t xml:space="preserve">dynamics of the model at the time in terms of funding secured and expected, along with competing priorities from other schemes.    There is no guarantee that all allocations can be fulfilled if the income to the model is not forthcoming. </w:t>
      </w:r>
    </w:p>
    <w:p w:rsidR="007147C7" w:rsidRDefault="007147C7" w:rsidP="00FC15E9">
      <w:pPr>
        <w:spacing w:after="0" w:line="240" w:lineRule="auto"/>
        <w:rPr>
          <w:rFonts w:ascii="Arial" w:hAnsi="Arial" w:cs="Arial"/>
          <w:b/>
          <w:sz w:val="24"/>
          <w:szCs w:val="24"/>
        </w:rPr>
      </w:pPr>
    </w:p>
    <w:p w:rsidR="00BA5638" w:rsidRPr="00BA5638" w:rsidRDefault="007147C7" w:rsidP="00FC15E9">
      <w:pPr>
        <w:spacing w:after="0" w:line="240" w:lineRule="auto"/>
        <w:rPr>
          <w:rFonts w:ascii="Arial" w:hAnsi="Arial" w:cs="Arial"/>
          <w:b/>
          <w:sz w:val="24"/>
          <w:szCs w:val="24"/>
        </w:rPr>
      </w:pPr>
      <w:r w:rsidRPr="00BA5638">
        <w:rPr>
          <w:rFonts w:ascii="Arial" w:hAnsi="Arial" w:cs="Arial"/>
          <w:b/>
          <w:sz w:val="24"/>
          <w:szCs w:val="24"/>
        </w:rPr>
        <w:t xml:space="preserve">Position of </w:t>
      </w:r>
      <w:r w:rsidRPr="00BA5638">
        <w:rPr>
          <w:rFonts w:ascii="Arial" w:hAnsi="Arial" w:cs="Arial"/>
          <w:b/>
          <w:sz w:val="24"/>
          <w:szCs w:val="24"/>
        </w:rPr>
        <w:t>the model as at 30</w:t>
      </w:r>
      <w:r w:rsidRPr="00BA5638">
        <w:rPr>
          <w:rFonts w:ascii="Arial" w:hAnsi="Arial" w:cs="Arial"/>
          <w:b/>
          <w:sz w:val="24"/>
          <w:szCs w:val="24"/>
          <w:vertAlign w:val="superscript"/>
        </w:rPr>
        <w:t>th</w:t>
      </w:r>
      <w:r w:rsidRPr="00BA5638">
        <w:rPr>
          <w:rFonts w:ascii="Arial" w:hAnsi="Arial" w:cs="Arial"/>
          <w:b/>
          <w:sz w:val="24"/>
          <w:szCs w:val="24"/>
        </w:rPr>
        <w:t xml:space="preserve"> September 2017</w:t>
      </w:r>
    </w:p>
    <w:p w:rsidR="007147C7" w:rsidRDefault="007147C7" w:rsidP="00FC15E9">
      <w:pPr>
        <w:spacing w:after="0" w:line="240" w:lineRule="auto"/>
        <w:rPr>
          <w:rFonts w:ascii="Arial" w:hAnsi="Arial" w:cs="Arial"/>
          <w:sz w:val="24"/>
          <w:szCs w:val="24"/>
        </w:rPr>
      </w:pPr>
    </w:p>
    <w:p w:rsidR="00BA5638" w:rsidRDefault="007147C7" w:rsidP="00FC15E9">
      <w:pPr>
        <w:spacing w:after="0" w:line="240" w:lineRule="auto"/>
        <w:rPr>
          <w:rFonts w:ascii="Arial" w:hAnsi="Arial" w:cs="Arial"/>
          <w:sz w:val="24"/>
          <w:szCs w:val="24"/>
        </w:rPr>
      </w:pPr>
      <w:r w:rsidRPr="00BA5638">
        <w:rPr>
          <w:rFonts w:ascii="Arial" w:hAnsi="Arial" w:cs="Arial"/>
          <w:sz w:val="24"/>
          <w:szCs w:val="24"/>
        </w:rPr>
        <w:t>The model as at Quarter 2 2017-</w:t>
      </w:r>
      <w:r>
        <w:rPr>
          <w:rFonts w:ascii="Arial" w:hAnsi="Arial" w:cs="Arial"/>
          <w:sz w:val="24"/>
          <w:szCs w:val="24"/>
        </w:rPr>
        <w:t>18 is appended to this report.</w:t>
      </w:r>
    </w:p>
    <w:p w:rsidR="007147C7" w:rsidRPr="00BA5638" w:rsidRDefault="007147C7" w:rsidP="00FC15E9">
      <w:pPr>
        <w:spacing w:after="0" w:line="240" w:lineRule="auto"/>
        <w:rPr>
          <w:rFonts w:ascii="Arial" w:hAnsi="Arial" w:cs="Arial"/>
          <w:sz w:val="24"/>
          <w:szCs w:val="24"/>
        </w:rPr>
      </w:pPr>
    </w:p>
    <w:p w:rsidR="00BA5638" w:rsidRDefault="007147C7" w:rsidP="007147C7">
      <w:pPr>
        <w:spacing w:after="0" w:line="240" w:lineRule="auto"/>
        <w:rPr>
          <w:rFonts w:ascii="Arial" w:hAnsi="Arial" w:cs="Arial"/>
          <w:sz w:val="24"/>
          <w:szCs w:val="24"/>
        </w:rPr>
      </w:pPr>
      <w:r w:rsidRPr="00BA5638">
        <w:rPr>
          <w:rFonts w:ascii="Arial" w:hAnsi="Arial" w:cs="Arial"/>
          <w:sz w:val="24"/>
          <w:szCs w:val="24"/>
        </w:rPr>
        <w:t>The model is currently showing a projected surplus over the city deal period of £3.478m, compared to a position at 30</w:t>
      </w:r>
      <w:r w:rsidRPr="00BA5638">
        <w:rPr>
          <w:rFonts w:ascii="Arial" w:hAnsi="Arial" w:cs="Arial"/>
          <w:sz w:val="24"/>
          <w:szCs w:val="24"/>
          <w:vertAlign w:val="superscript"/>
        </w:rPr>
        <w:t>th</w:t>
      </w:r>
      <w:r w:rsidRPr="00BA5638">
        <w:rPr>
          <w:rFonts w:ascii="Arial" w:hAnsi="Arial" w:cs="Arial"/>
          <w:sz w:val="24"/>
          <w:szCs w:val="24"/>
        </w:rPr>
        <w:t xml:space="preserve"> June 2017 of £0.126m surplus. </w:t>
      </w:r>
    </w:p>
    <w:p w:rsidR="007147C7" w:rsidRPr="00BA5638" w:rsidRDefault="007147C7" w:rsidP="007147C7">
      <w:pPr>
        <w:spacing w:after="0" w:line="240" w:lineRule="auto"/>
        <w:rPr>
          <w:rFonts w:ascii="Arial" w:hAnsi="Arial" w:cs="Arial"/>
          <w:color w:val="FF0000"/>
          <w:sz w:val="24"/>
          <w:szCs w:val="24"/>
        </w:rPr>
      </w:pPr>
    </w:p>
    <w:p w:rsidR="00BA5638" w:rsidRDefault="007147C7" w:rsidP="007147C7">
      <w:pPr>
        <w:spacing w:after="0" w:line="240" w:lineRule="auto"/>
        <w:rPr>
          <w:rFonts w:ascii="Arial" w:hAnsi="Arial" w:cs="Arial"/>
          <w:sz w:val="24"/>
          <w:szCs w:val="24"/>
        </w:rPr>
      </w:pPr>
      <w:r w:rsidRPr="00BA5638">
        <w:rPr>
          <w:rFonts w:ascii="Arial" w:hAnsi="Arial" w:cs="Arial"/>
          <w:sz w:val="24"/>
          <w:szCs w:val="24"/>
        </w:rPr>
        <w:t>The changes to income relate to changes in the forecasts in housing numbers and known income from a site being more than was anticipated from that site following planning approval (£3.422m additional income to the model</w:t>
      </w:r>
      <w:r w:rsidRPr="00BA5638">
        <w:rPr>
          <w:rFonts w:ascii="Arial" w:hAnsi="Arial" w:cs="Arial"/>
          <w:sz w:val="24"/>
          <w:szCs w:val="24"/>
        </w:rPr>
        <w:t xml:space="preserve">)  and increased costs for the modelling work being undertaken (£0.070m additional cost to the model) </w:t>
      </w:r>
    </w:p>
    <w:p w:rsidR="007147C7" w:rsidRPr="00BA5638" w:rsidRDefault="007147C7" w:rsidP="007147C7">
      <w:pPr>
        <w:spacing w:after="0" w:line="240" w:lineRule="auto"/>
        <w:rPr>
          <w:rFonts w:ascii="Arial" w:hAnsi="Arial" w:cs="Arial"/>
          <w:sz w:val="24"/>
          <w:szCs w:val="24"/>
        </w:rPr>
      </w:pPr>
    </w:p>
    <w:p w:rsidR="00BA5638" w:rsidRPr="00BA5638" w:rsidRDefault="007147C7" w:rsidP="007147C7">
      <w:pPr>
        <w:spacing w:after="0" w:line="240" w:lineRule="auto"/>
        <w:rPr>
          <w:rFonts w:ascii="Arial" w:hAnsi="Arial" w:cs="Arial"/>
          <w:sz w:val="24"/>
          <w:szCs w:val="24"/>
        </w:rPr>
      </w:pPr>
      <w:r w:rsidRPr="00BA5638">
        <w:rPr>
          <w:rFonts w:ascii="Arial" w:hAnsi="Arial" w:cs="Arial"/>
          <w:sz w:val="24"/>
          <w:szCs w:val="24"/>
        </w:rPr>
        <w:t xml:space="preserve">There is a currently reported funding gap on one scheme which is being considered later in the agenda of this </w:t>
      </w:r>
      <w:proofErr w:type="gramStart"/>
      <w:r w:rsidRPr="00BA5638">
        <w:rPr>
          <w:rFonts w:ascii="Arial" w:hAnsi="Arial" w:cs="Arial"/>
          <w:sz w:val="24"/>
          <w:szCs w:val="24"/>
        </w:rPr>
        <w:t>meeting ,</w:t>
      </w:r>
      <w:proofErr w:type="gramEnd"/>
      <w:r w:rsidRPr="00BA5638">
        <w:rPr>
          <w:rFonts w:ascii="Arial" w:hAnsi="Arial" w:cs="Arial"/>
          <w:sz w:val="24"/>
          <w:szCs w:val="24"/>
        </w:rPr>
        <w:t xml:space="preserve">  this is not reflected in th</w:t>
      </w:r>
      <w:r w:rsidRPr="00BA5638">
        <w:rPr>
          <w:rFonts w:ascii="Arial" w:hAnsi="Arial" w:cs="Arial"/>
          <w:sz w:val="24"/>
          <w:szCs w:val="24"/>
        </w:rPr>
        <w:t>e model at the moment and represents a risk without mitigation that the model breaches the maximum allowed cash flow and / or the model forecasts a deficit position.  This risk will need to be mitigated by mea</w:t>
      </w:r>
      <w:r>
        <w:rPr>
          <w:rFonts w:ascii="Arial" w:hAnsi="Arial" w:cs="Arial"/>
          <w:sz w:val="24"/>
          <w:szCs w:val="24"/>
        </w:rPr>
        <w:t>sures agreed by the executive.</w:t>
      </w:r>
    </w:p>
    <w:p w:rsidR="007147C7" w:rsidRDefault="007147C7" w:rsidP="007147C7">
      <w:pPr>
        <w:spacing w:after="0" w:line="240" w:lineRule="auto"/>
        <w:rPr>
          <w:rFonts w:ascii="Arial" w:hAnsi="Arial" w:cs="Arial"/>
          <w:sz w:val="24"/>
          <w:szCs w:val="24"/>
        </w:rPr>
      </w:pPr>
    </w:p>
    <w:p w:rsidR="00BA5638" w:rsidRPr="00BA5638" w:rsidRDefault="007147C7" w:rsidP="007147C7">
      <w:pPr>
        <w:spacing w:after="0" w:line="240" w:lineRule="auto"/>
        <w:rPr>
          <w:rFonts w:ascii="Arial" w:hAnsi="Arial" w:cs="Arial"/>
          <w:sz w:val="24"/>
          <w:szCs w:val="24"/>
        </w:rPr>
      </w:pPr>
      <w:r w:rsidRPr="00BA5638">
        <w:rPr>
          <w:rFonts w:ascii="Arial" w:hAnsi="Arial" w:cs="Arial"/>
          <w:sz w:val="24"/>
          <w:szCs w:val="24"/>
        </w:rPr>
        <w:t>Comparing</w:t>
      </w:r>
      <w:r w:rsidRPr="00BA5638">
        <w:rPr>
          <w:rFonts w:ascii="Arial" w:hAnsi="Arial" w:cs="Arial"/>
          <w:sz w:val="24"/>
          <w:szCs w:val="24"/>
        </w:rPr>
        <w:t xml:space="preserve"> 2017/18 forecast outturn against those planned as per the business plan 2017-20 shows the graphs below.  However these are subject to change following the completion of work as detailed in sections 1.9.1</w:t>
      </w:r>
    </w:p>
    <w:p w:rsidR="00BA5638" w:rsidRDefault="007147C7" w:rsidP="00FC15E9">
      <w:pPr>
        <w:spacing w:after="0" w:line="240" w:lineRule="auto"/>
        <w:ind w:left="720" w:hanging="720"/>
        <w:rPr>
          <w:rFonts w:ascii="Arial" w:hAnsi="Arial" w:cs="Arial"/>
          <w:sz w:val="24"/>
          <w:szCs w:val="24"/>
        </w:rPr>
      </w:pPr>
      <w:r w:rsidRPr="00BA5638">
        <w:rPr>
          <w:rFonts w:ascii="Arial" w:hAnsi="Arial" w:cs="Arial"/>
          <w:sz w:val="24"/>
          <w:szCs w:val="24"/>
        </w:rPr>
        <w:tab/>
      </w:r>
    </w:p>
    <w:p w:rsidR="00BA5638" w:rsidRDefault="007147C7" w:rsidP="00FC15E9">
      <w:pPr>
        <w:spacing w:after="0" w:line="240" w:lineRule="auto"/>
        <w:ind w:left="720" w:hanging="720"/>
        <w:rPr>
          <w:rFonts w:ascii="Arial" w:hAnsi="Arial" w:cs="Arial"/>
          <w:sz w:val="24"/>
          <w:szCs w:val="24"/>
        </w:rPr>
      </w:pPr>
    </w:p>
    <w:p w:rsidR="00BA5638" w:rsidRDefault="007147C7" w:rsidP="00FC15E9">
      <w:pPr>
        <w:spacing w:after="0" w:line="240" w:lineRule="auto"/>
        <w:ind w:left="720" w:hanging="720"/>
        <w:rPr>
          <w:rFonts w:ascii="Arial" w:hAnsi="Arial" w:cs="Arial"/>
          <w:sz w:val="24"/>
          <w:szCs w:val="24"/>
        </w:rPr>
      </w:pPr>
    </w:p>
    <w:p w:rsidR="00BA5638" w:rsidRDefault="007147C7" w:rsidP="00FC15E9">
      <w:pPr>
        <w:spacing w:after="0" w:line="240" w:lineRule="auto"/>
        <w:ind w:left="720" w:hanging="720"/>
        <w:rPr>
          <w:rFonts w:ascii="Arial" w:hAnsi="Arial" w:cs="Arial"/>
          <w:sz w:val="24"/>
          <w:szCs w:val="24"/>
        </w:rPr>
      </w:pPr>
    </w:p>
    <w:p w:rsidR="00BA5638" w:rsidRDefault="007147C7" w:rsidP="00FC15E9">
      <w:pPr>
        <w:spacing w:after="0" w:line="240" w:lineRule="auto"/>
        <w:ind w:left="720" w:hanging="720"/>
        <w:rPr>
          <w:rFonts w:ascii="Arial" w:hAnsi="Arial" w:cs="Arial"/>
          <w:sz w:val="24"/>
          <w:szCs w:val="24"/>
        </w:rPr>
      </w:pPr>
    </w:p>
    <w:p w:rsidR="00BA5638" w:rsidRDefault="007147C7" w:rsidP="00FC15E9">
      <w:pPr>
        <w:spacing w:after="0" w:line="240" w:lineRule="auto"/>
        <w:ind w:left="720" w:hanging="720"/>
        <w:rPr>
          <w:rFonts w:ascii="Arial" w:hAnsi="Arial" w:cs="Arial"/>
          <w:sz w:val="24"/>
          <w:szCs w:val="24"/>
        </w:rPr>
      </w:pPr>
    </w:p>
    <w:p w:rsidR="00BA5638" w:rsidRDefault="007147C7" w:rsidP="00FC15E9">
      <w:pPr>
        <w:spacing w:after="0" w:line="240" w:lineRule="auto"/>
        <w:ind w:left="720" w:hanging="720"/>
        <w:rPr>
          <w:rFonts w:ascii="Arial" w:hAnsi="Arial" w:cs="Arial"/>
          <w:sz w:val="24"/>
          <w:szCs w:val="24"/>
        </w:rPr>
      </w:pPr>
    </w:p>
    <w:p w:rsidR="00BA5638" w:rsidRDefault="007147C7" w:rsidP="00FC15E9">
      <w:pPr>
        <w:spacing w:after="0" w:line="240" w:lineRule="auto"/>
        <w:ind w:left="720" w:hanging="720"/>
        <w:rPr>
          <w:rFonts w:ascii="Arial" w:hAnsi="Arial" w:cs="Arial"/>
          <w:sz w:val="24"/>
          <w:szCs w:val="24"/>
        </w:rPr>
      </w:pPr>
    </w:p>
    <w:p w:rsidR="00BA5638" w:rsidRPr="007147C7" w:rsidRDefault="007147C7" w:rsidP="00FC15E9">
      <w:pPr>
        <w:spacing w:after="0" w:line="240" w:lineRule="auto"/>
        <w:ind w:left="720" w:hanging="720"/>
        <w:rPr>
          <w:rFonts w:ascii="Arial" w:hAnsi="Arial" w:cs="Arial"/>
          <w:b/>
          <w:sz w:val="24"/>
          <w:szCs w:val="24"/>
        </w:rPr>
      </w:pPr>
    </w:p>
    <w:p w:rsidR="00BA5638" w:rsidRDefault="007147C7" w:rsidP="00FC15E9">
      <w:pPr>
        <w:spacing w:after="0" w:line="240" w:lineRule="auto"/>
        <w:ind w:left="720" w:hanging="720"/>
        <w:rPr>
          <w:rFonts w:ascii="Arial" w:hAnsi="Arial" w:cs="Arial"/>
          <w:b/>
          <w:sz w:val="24"/>
          <w:szCs w:val="24"/>
        </w:rPr>
      </w:pPr>
      <w:r w:rsidRPr="007147C7">
        <w:rPr>
          <w:rFonts w:ascii="Arial" w:hAnsi="Arial" w:cs="Arial"/>
          <w:b/>
          <w:sz w:val="24"/>
          <w:szCs w:val="24"/>
        </w:rPr>
        <w:t>2017/18 Resources</w:t>
      </w:r>
    </w:p>
    <w:p w:rsidR="007147C7" w:rsidRPr="007147C7" w:rsidRDefault="007147C7" w:rsidP="00FC15E9">
      <w:pPr>
        <w:spacing w:after="0" w:line="240" w:lineRule="auto"/>
        <w:ind w:left="720" w:hanging="720"/>
        <w:rPr>
          <w:rFonts w:ascii="Arial" w:hAnsi="Arial" w:cs="Arial"/>
          <w:b/>
          <w:sz w:val="24"/>
          <w:szCs w:val="24"/>
        </w:rPr>
      </w:pPr>
    </w:p>
    <w:p w:rsidR="00BA5638" w:rsidRPr="00BA5638" w:rsidRDefault="007147C7" w:rsidP="00BA5638">
      <w:pPr>
        <w:ind w:left="720"/>
        <w:rPr>
          <w:rFonts w:ascii="Arial" w:hAnsi="Arial" w:cs="Arial"/>
          <w:sz w:val="24"/>
          <w:szCs w:val="24"/>
        </w:rPr>
      </w:pPr>
      <w:r w:rsidRPr="00BA5638">
        <w:rPr>
          <w:noProof/>
          <w:lang w:eastAsia="en-GB"/>
        </w:rPr>
        <w:drawing>
          <wp:inline distT="0" distB="0" distL="0" distR="0">
            <wp:extent cx="5731510" cy="7248525"/>
            <wp:effectExtent l="0" t="0" r="254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5638" w:rsidRDefault="007147C7" w:rsidP="00BA5638">
      <w:pPr>
        <w:ind w:left="720"/>
        <w:rPr>
          <w:rFonts w:ascii="Arial" w:hAnsi="Arial" w:cs="Arial"/>
          <w:sz w:val="24"/>
          <w:szCs w:val="24"/>
        </w:rPr>
      </w:pPr>
    </w:p>
    <w:p w:rsidR="00BA5638" w:rsidRDefault="007147C7" w:rsidP="00BA5638">
      <w:pPr>
        <w:ind w:left="720"/>
        <w:rPr>
          <w:rFonts w:ascii="Arial" w:hAnsi="Arial" w:cs="Arial"/>
          <w:sz w:val="24"/>
          <w:szCs w:val="24"/>
        </w:rPr>
      </w:pPr>
    </w:p>
    <w:p w:rsidR="00BA5638" w:rsidRPr="007147C7" w:rsidRDefault="007147C7" w:rsidP="00BA5638">
      <w:pPr>
        <w:ind w:left="720"/>
        <w:rPr>
          <w:rFonts w:ascii="Arial" w:hAnsi="Arial" w:cs="Arial"/>
          <w:b/>
          <w:sz w:val="24"/>
          <w:szCs w:val="24"/>
        </w:rPr>
      </w:pPr>
      <w:r w:rsidRPr="007147C7">
        <w:rPr>
          <w:rFonts w:ascii="Arial" w:hAnsi="Arial" w:cs="Arial"/>
          <w:b/>
          <w:sz w:val="24"/>
          <w:szCs w:val="24"/>
        </w:rPr>
        <w:t>2017/</w:t>
      </w:r>
      <w:proofErr w:type="gramStart"/>
      <w:r w:rsidRPr="007147C7">
        <w:rPr>
          <w:rFonts w:ascii="Arial" w:hAnsi="Arial" w:cs="Arial"/>
          <w:b/>
          <w:sz w:val="24"/>
          <w:szCs w:val="24"/>
        </w:rPr>
        <w:t>18</w:t>
      </w:r>
      <w:r w:rsidRPr="007147C7">
        <w:rPr>
          <w:rFonts w:ascii="Arial" w:hAnsi="Arial" w:cs="Arial"/>
          <w:b/>
          <w:sz w:val="24"/>
          <w:szCs w:val="24"/>
        </w:rPr>
        <w:t xml:space="preserve">  Expenditure</w:t>
      </w:r>
      <w:proofErr w:type="gramEnd"/>
      <w:r w:rsidRPr="007147C7">
        <w:rPr>
          <w:rFonts w:ascii="Arial" w:hAnsi="Arial" w:cs="Arial"/>
          <w:b/>
          <w:sz w:val="24"/>
          <w:szCs w:val="24"/>
        </w:rPr>
        <w:t xml:space="preserve"> </w:t>
      </w:r>
      <w:r w:rsidRPr="007147C7">
        <w:rPr>
          <w:rFonts w:ascii="Arial" w:hAnsi="Arial" w:cs="Arial"/>
          <w:b/>
          <w:sz w:val="24"/>
          <w:szCs w:val="24"/>
        </w:rPr>
        <w:t xml:space="preserve"> </w:t>
      </w:r>
    </w:p>
    <w:p w:rsidR="00BA5638" w:rsidRPr="00BA5638" w:rsidRDefault="007147C7" w:rsidP="00BA5638">
      <w:pPr>
        <w:ind w:left="720" w:hanging="720"/>
        <w:rPr>
          <w:rFonts w:ascii="Arial" w:hAnsi="Arial" w:cs="Arial"/>
          <w:sz w:val="24"/>
          <w:szCs w:val="24"/>
        </w:rPr>
      </w:pPr>
      <w:r w:rsidRPr="00BA5638">
        <w:rPr>
          <w:noProof/>
          <w:lang w:eastAsia="en-GB"/>
        </w:rPr>
        <w:drawing>
          <wp:inline distT="0" distB="0" distL="0" distR="0">
            <wp:extent cx="5731510" cy="7134225"/>
            <wp:effectExtent l="0" t="0" r="254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A5638" w:rsidRPr="00BA5638" w:rsidRDefault="007147C7" w:rsidP="007147C7">
      <w:pPr>
        <w:spacing w:after="0" w:line="240" w:lineRule="auto"/>
        <w:ind w:left="567" w:hanging="567"/>
        <w:rPr>
          <w:rFonts w:ascii="Arial" w:hAnsi="Arial" w:cs="Arial"/>
          <w:sz w:val="24"/>
          <w:szCs w:val="24"/>
        </w:rPr>
      </w:pPr>
      <w:proofErr w:type="gramStart"/>
      <w:r>
        <w:rPr>
          <w:rFonts w:ascii="Arial" w:hAnsi="Arial" w:cs="Arial"/>
          <w:sz w:val="24"/>
          <w:szCs w:val="24"/>
        </w:rPr>
        <w:t>NB .</w:t>
      </w:r>
      <w:proofErr w:type="gramEnd"/>
      <w:r>
        <w:rPr>
          <w:rFonts w:ascii="Arial" w:hAnsi="Arial" w:cs="Arial"/>
          <w:sz w:val="24"/>
          <w:szCs w:val="24"/>
        </w:rPr>
        <w:t xml:space="preserve"> </w:t>
      </w:r>
      <w:r>
        <w:rPr>
          <w:rFonts w:ascii="Arial" w:hAnsi="Arial" w:cs="Arial"/>
          <w:sz w:val="24"/>
          <w:szCs w:val="24"/>
        </w:rPr>
        <w:t>Movements from business plan (unless report</w:t>
      </w:r>
      <w:r>
        <w:rPr>
          <w:rFonts w:ascii="Arial" w:hAnsi="Arial" w:cs="Arial"/>
          <w:sz w:val="24"/>
          <w:szCs w:val="24"/>
        </w:rPr>
        <w:t xml:space="preserve">ed elsewhere in the report as </w:t>
      </w:r>
      <w:r>
        <w:rPr>
          <w:rFonts w:ascii="Arial" w:hAnsi="Arial" w:cs="Arial"/>
          <w:sz w:val="24"/>
          <w:szCs w:val="24"/>
        </w:rPr>
        <w:t xml:space="preserve">permanent change in the model) represent movements between years.  </w:t>
      </w:r>
    </w:p>
    <w:p w:rsidR="00BA5638" w:rsidRPr="00BA5638" w:rsidRDefault="007147C7" w:rsidP="00FC15E9">
      <w:pPr>
        <w:spacing w:after="0" w:line="240" w:lineRule="auto"/>
        <w:rPr>
          <w:rFonts w:ascii="Arial" w:hAnsi="Arial" w:cs="Arial"/>
          <w:sz w:val="24"/>
          <w:szCs w:val="24"/>
        </w:rPr>
      </w:pPr>
    </w:p>
    <w:p w:rsidR="00BA5638" w:rsidRDefault="007147C7" w:rsidP="00FC15E9">
      <w:pPr>
        <w:spacing w:after="0" w:line="240" w:lineRule="auto"/>
        <w:rPr>
          <w:rFonts w:ascii="Arial" w:hAnsi="Arial" w:cs="Arial"/>
          <w:b/>
          <w:sz w:val="24"/>
          <w:szCs w:val="24"/>
        </w:rPr>
      </w:pPr>
      <w:r w:rsidRPr="00BA5638">
        <w:rPr>
          <w:rFonts w:ascii="Arial" w:hAnsi="Arial" w:cs="Arial"/>
          <w:b/>
          <w:sz w:val="24"/>
          <w:szCs w:val="24"/>
        </w:rPr>
        <w:t>Key issues raised by 30</w:t>
      </w:r>
      <w:r w:rsidRPr="00BA5638">
        <w:rPr>
          <w:rFonts w:ascii="Arial" w:hAnsi="Arial" w:cs="Arial"/>
          <w:b/>
          <w:sz w:val="24"/>
          <w:szCs w:val="24"/>
          <w:vertAlign w:val="superscript"/>
        </w:rPr>
        <w:t>th</w:t>
      </w:r>
      <w:r w:rsidRPr="00BA5638">
        <w:rPr>
          <w:rFonts w:ascii="Arial" w:hAnsi="Arial" w:cs="Arial"/>
          <w:b/>
          <w:sz w:val="24"/>
          <w:szCs w:val="24"/>
        </w:rPr>
        <w:t xml:space="preserve"> September 2017</w:t>
      </w:r>
    </w:p>
    <w:p w:rsidR="007147C7" w:rsidRPr="00BA5638" w:rsidRDefault="007147C7" w:rsidP="00FC15E9">
      <w:pPr>
        <w:spacing w:after="0" w:line="240" w:lineRule="auto"/>
        <w:rPr>
          <w:rFonts w:ascii="Arial" w:hAnsi="Arial" w:cs="Arial"/>
          <w:b/>
          <w:sz w:val="24"/>
          <w:szCs w:val="24"/>
        </w:rPr>
      </w:pPr>
    </w:p>
    <w:p w:rsidR="00BA5638" w:rsidRDefault="007147C7" w:rsidP="007147C7">
      <w:pPr>
        <w:spacing w:after="0" w:line="240" w:lineRule="auto"/>
        <w:rPr>
          <w:rFonts w:ascii="Arial" w:hAnsi="Arial" w:cs="Arial"/>
          <w:sz w:val="24"/>
          <w:szCs w:val="24"/>
        </w:rPr>
      </w:pPr>
      <w:r w:rsidRPr="00BA5638">
        <w:rPr>
          <w:rFonts w:ascii="Arial" w:hAnsi="Arial" w:cs="Arial"/>
          <w:sz w:val="24"/>
          <w:szCs w:val="24"/>
        </w:rPr>
        <w:t xml:space="preserve">As part of the Resources Review, </w:t>
      </w:r>
      <w:r w:rsidRPr="00BA5638">
        <w:rPr>
          <w:rFonts w:ascii="Arial" w:hAnsi="Arial" w:cs="Arial"/>
          <w:sz w:val="24"/>
          <w:szCs w:val="24"/>
        </w:rPr>
        <w:t xml:space="preserve">Keppie Massie are advising on the assumptions made at the outset of the Deal with specific regard to the “other developer contributions” stream which includes s106 payments. </w:t>
      </w:r>
    </w:p>
    <w:p w:rsidR="007147C7" w:rsidRPr="00BA5638" w:rsidRDefault="007147C7" w:rsidP="007147C7">
      <w:pPr>
        <w:spacing w:after="0" w:line="240" w:lineRule="auto"/>
        <w:rPr>
          <w:rFonts w:ascii="Arial" w:hAnsi="Arial" w:cs="Arial"/>
          <w:sz w:val="24"/>
          <w:szCs w:val="24"/>
        </w:rPr>
      </w:pPr>
    </w:p>
    <w:p w:rsidR="00BA5638" w:rsidRPr="00BA5638" w:rsidRDefault="007147C7" w:rsidP="007147C7">
      <w:pPr>
        <w:spacing w:after="0" w:line="240" w:lineRule="auto"/>
      </w:pPr>
      <w:r w:rsidRPr="00BA5638">
        <w:rPr>
          <w:rFonts w:ascii="Arial" w:hAnsi="Arial" w:cs="Arial"/>
          <w:sz w:val="24"/>
          <w:szCs w:val="24"/>
        </w:rPr>
        <w:t>The partners continue to work together to ensure there is a shared and co</w:t>
      </w:r>
      <w:r w:rsidRPr="00BA5638">
        <w:rPr>
          <w:rFonts w:ascii="Arial" w:hAnsi="Arial" w:cs="Arial"/>
          <w:sz w:val="24"/>
          <w:szCs w:val="24"/>
        </w:rPr>
        <w:t>mmon interpretation of the binding Heads of Terms which require the partners to maximise the value of developer contributions being collected and paid into the fund, and to identify additional housing sites within the area. Work is underway to quantify the</w:t>
      </w:r>
      <w:r w:rsidRPr="00BA5638">
        <w:rPr>
          <w:rFonts w:ascii="Arial" w:hAnsi="Arial" w:cs="Arial"/>
          <w:sz w:val="24"/>
          <w:szCs w:val="24"/>
        </w:rPr>
        <w:t xml:space="preserve"> amount of additional developer contributions collected to date against that forecast as well as capture the projects being delivered by the funding, as part of the City Deal Infrastructure Delivery Plan. </w:t>
      </w:r>
    </w:p>
    <w:p w:rsidR="00BA5638" w:rsidRPr="00BA5638" w:rsidRDefault="007147C7" w:rsidP="00FC15E9">
      <w:pPr>
        <w:spacing w:after="0" w:line="240" w:lineRule="auto"/>
        <w:jc w:val="both"/>
        <w:rPr>
          <w:rFonts w:ascii="Arial" w:hAnsi="Arial" w:cs="Arial"/>
          <w:sz w:val="24"/>
          <w:szCs w:val="24"/>
        </w:rPr>
      </w:pPr>
    </w:p>
    <w:p w:rsidR="00BA5638" w:rsidRPr="00BA5638" w:rsidRDefault="007147C7" w:rsidP="00FC15E9">
      <w:pPr>
        <w:spacing w:after="0" w:line="240" w:lineRule="auto"/>
        <w:rPr>
          <w:rFonts w:ascii="Arial" w:hAnsi="Arial" w:cs="Arial"/>
          <w:sz w:val="24"/>
          <w:szCs w:val="24"/>
        </w:rPr>
      </w:pPr>
      <w:r w:rsidRPr="00BA5638">
        <w:rPr>
          <w:rFonts w:cs="Arial"/>
          <w:szCs w:val="24"/>
        </w:rPr>
        <w:br w:type="page"/>
      </w:r>
    </w:p>
    <w:p w:rsidR="00BA5638" w:rsidRPr="00BA5638" w:rsidRDefault="007147C7" w:rsidP="00BA5638">
      <w:pPr>
        <w:spacing w:after="0" w:line="240" w:lineRule="auto"/>
        <w:jc w:val="both"/>
        <w:rPr>
          <w:rFonts w:ascii="Arial" w:hAnsi="Arial" w:cs="Arial"/>
          <w:sz w:val="24"/>
          <w:szCs w:val="24"/>
        </w:rPr>
      </w:pPr>
    </w:p>
    <w:p w:rsidR="00BA5638" w:rsidRDefault="007147C7" w:rsidP="00BA5638">
      <w:pPr>
        <w:spacing w:after="0" w:line="240" w:lineRule="auto"/>
        <w:jc w:val="both"/>
        <w:rPr>
          <w:rFonts w:ascii="Arial" w:hAnsi="Arial" w:cs="Arial"/>
          <w:b/>
          <w:sz w:val="24"/>
          <w:szCs w:val="24"/>
        </w:rPr>
      </w:pPr>
      <w:r w:rsidRPr="007147C7">
        <w:rPr>
          <w:rFonts w:ascii="Arial" w:hAnsi="Arial" w:cs="Arial"/>
          <w:b/>
          <w:sz w:val="24"/>
          <w:szCs w:val="24"/>
        </w:rPr>
        <w:t xml:space="preserve">Appendix A </w:t>
      </w:r>
    </w:p>
    <w:p w:rsidR="007147C7" w:rsidRPr="007147C7" w:rsidRDefault="007147C7" w:rsidP="00BA5638">
      <w:pPr>
        <w:spacing w:after="0" w:line="240" w:lineRule="auto"/>
        <w:jc w:val="both"/>
        <w:rPr>
          <w:rFonts w:ascii="Arial" w:hAnsi="Arial" w:cs="Arial"/>
          <w:b/>
          <w:sz w:val="24"/>
          <w:szCs w:val="24"/>
        </w:rPr>
      </w:pPr>
    </w:p>
    <w:p w:rsidR="00BA5638" w:rsidRPr="00BA5638" w:rsidRDefault="007147C7" w:rsidP="00BA5638">
      <w:pPr>
        <w:spacing w:after="0" w:line="240" w:lineRule="auto"/>
        <w:jc w:val="both"/>
        <w:rPr>
          <w:rFonts w:ascii="Arial" w:hAnsi="Arial" w:cs="Arial"/>
          <w:sz w:val="24"/>
          <w:szCs w:val="24"/>
        </w:rPr>
      </w:pPr>
      <w:r w:rsidRPr="00BA5638">
        <w:rPr>
          <w:rFonts w:ascii="Arial" w:hAnsi="Arial"/>
          <w:noProof/>
          <w:sz w:val="24"/>
          <w:lang w:eastAsia="en-GB"/>
        </w:rPr>
        <w:drawing>
          <wp:inline distT="0" distB="0" distL="0" distR="0">
            <wp:extent cx="5731510" cy="739860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1510" cy="7398608"/>
                    </a:xfrm>
                    <a:prstGeom prst="rect">
                      <a:avLst/>
                    </a:prstGeom>
                    <a:noFill/>
                    <a:ln>
                      <a:noFill/>
                    </a:ln>
                  </pic:spPr>
                </pic:pic>
              </a:graphicData>
            </a:graphic>
          </wp:inline>
        </w:drawing>
      </w:r>
    </w:p>
    <w:p w:rsidR="00054E0A" w:rsidRPr="009D435E" w:rsidRDefault="007147C7" w:rsidP="00527AB7">
      <w:pPr>
        <w:spacing w:after="0" w:line="240" w:lineRule="auto"/>
        <w:rPr>
          <w:rFonts w:cs="Arial"/>
          <w:szCs w:val="24"/>
        </w:rPr>
      </w:pPr>
      <w:bookmarkStart w:id="0" w:name="_GoBack"/>
      <w:bookmarkEnd w:id="0"/>
    </w:p>
    <w:sectPr w:rsidR="00054E0A" w:rsidRPr="009D435E">
      <w:headerReference w:type="default" r:id="rId12"/>
      <w:footerReference w:type="even" r:id="rId13"/>
      <w:footerReference w:type="defaul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147C7">
      <w:pPr>
        <w:spacing w:after="0" w:line="240" w:lineRule="auto"/>
      </w:pPr>
      <w:r>
        <w:separator/>
      </w:r>
    </w:p>
  </w:endnote>
  <w:endnote w:type="continuationSeparator" w:id="0">
    <w:p w:rsidR="00000000" w:rsidRDefault="00714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583" w:rsidRDefault="007147C7" w:rsidP="00440F6A">
    <w:pPr>
      <w:pStyle w:val="Footer"/>
    </w:pPr>
    <w:bookmarkStart w:id="1" w:name="aliashAdvancedFooterprot1FooterEvenPages"/>
  </w:p>
  <w:bookmarkEnd w:id="1"/>
  <w:p w:rsidR="006A1583" w:rsidRDefault="007147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583" w:rsidRDefault="007147C7" w:rsidP="00440F6A">
    <w:pPr>
      <w:pStyle w:val="Footer"/>
    </w:pPr>
    <w:bookmarkStart w:id="2" w:name="aliashAdvancedFooterprotec1FooterPrimary"/>
  </w:p>
  <w:bookmarkEnd w:id="2"/>
  <w:p w:rsidR="006A1583" w:rsidRDefault="007147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583" w:rsidRDefault="007147C7" w:rsidP="00440F6A">
    <w:pPr>
      <w:pStyle w:val="Footer"/>
    </w:pPr>
    <w:bookmarkStart w:id="3" w:name="aliashAdvancedFooterprot1FooterFirstPage"/>
  </w:p>
  <w:bookmarkEnd w:id="3"/>
  <w:p w:rsidR="006A1583" w:rsidRDefault="007147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7147C7">
      <w:pPr>
        <w:spacing w:after="0" w:line="240" w:lineRule="auto"/>
      </w:pPr>
      <w:r>
        <w:separator/>
      </w:r>
    </w:p>
  </w:footnote>
  <w:footnote w:type="continuationSeparator" w:id="0">
    <w:p w:rsidR="00000000" w:rsidRDefault="007147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583" w:rsidRDefault="007147C7" w:rsidP="00054E0A">
    <w:pPr>
      <w:pStyle w:val="Header"/>
    </w:pPr>
    <w:r w:rsidRPr="00DA16C4">
      <w:rPr>
        <w:noProof/>
        <w:lang w:eastAsia="en-GB"/>
      </w:rPr>
      <w:drawing>
        <wp:inline distT="0" distB="0" distL="0" distR="0">
          <wp:extent cx="3802566" cy="991710"/>
          <wp:effectExtent l="0" t="0" r="0" b="0"/>
          <wp:docPr id="2" name="Picture 2" descr="\\psf\Home\Desktop\C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CD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02783" cy="99176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42B64"/>
    <w:multiLevelType w:val="hybridMultilevel"/>
    <w:tmpl w:val="C31CC5EA"/>
    <w:lvl w:ilvl="0" w:tplc="BB3C78C2">
      <w:start w:val="1"/>
      <w:numFmt w:val="bullet"/>
      <w:lvlText w:val=""/>
      <w:lvlJc w:val="left"/>
      <w:pPr>
        <w:ind w:left="720" w:hanging="360"/>
      </w:pPr>
      <w:rPr>
        <w:rFonts w:ascii="Symbol" w:hAnsi="Symbol" w:hint="default"/>
      </w:rPr>
    </w:lvl>
    <w:lvl w:ilvl="1" w:tplc="12721314" w:tentative="1">
      <w:start w:val="1"/>
      <w:numFmt w:val="bullet"/>
      <w:lvlText w:val="o"/>
      <w:lvlJc w:val="left"/>
      <w:pPr>
        <w:ind w:left="1440" w:hanging="360"/>
      </w:pPr>
      <w:rPr>
        <w:rFonts w:ascii="Courier New" w:hAnsi="Courier New" w:cs="Courier New" w:hint="default"/>
      </w:rPr>
    </w:lvl>
    <w:lvl w:ilvl="2" w:tplc="5BA42CCA" w:tentative="1">
      <w:start w:val="1"/>
      <w:numFmt w:val="bullet"/>
      <w:lvlText w:val=""/>
      <w:lvlJc w:val="left"/>
      <w:pPr>
        <w:ind w:left="2160" w:hanging="360"/>
      </w:pPr>
      <w:rPr>
        <w:rFonts w:ascii="Wingdings" w:hAnsi="Wingdings" w:hint="default"/>
      </w:rPr>
    </w:lvl>
    <w:lvl w:ilvl="3" w:tplc="8B6878D6" w:tentative="1">
      <w:start w:val="1"/>
      <w:numFmt w:val="bullet"/>
      <w:lvlText w:val=""/>
      <w:lvlJc w:val="left"/>
      <w:pPr>
        <w:ind w:left="2880" w:hanging="360"/>
      </w:pPr>
      <w:rPr>
        <w:rFonts w:ascii="Symbol" w:hAnsi="Symbol" w:hint="default"/>
      </w:rPr>
    </w:lvl>
    <w:lvl w:ilvl="4" w:tplc="4C782338" w:tentative="1">
      <w:start w:val="1"/>
      <w:numFmt w:val="bullet"/>
      <w:lvlText w:val="o"/>
      <w:lvlJc w:val="left"/>
      <w:pPr>
        <w:ind w:left="3600" w:hanging="360"/>
      </w:pPr>
      <w:rPr>
        <w:rFonts w:ascii="Courier New" w:hAnsi="Courier New" w:cs="Courier New" w:hint="default"/>
      </w:rPr>
    </w:lvl>
    <w:lvl w:ilvl="5" w:tplc="6A629448" w:tentative="1">
      <w:start w:val="1"/>
      <w:numFmt w:val="bullet"/>
      <w:lvlText w:val=""/>
      <w:lvlJc w:val="left"/>
      <w:pPr>
        <w:ind w:left="4320" w:hanging="360"/>
      </w:pPr>
      <w:rPr>
        <w:rFonts w:ascii="Wingdings" w:hAnsi="Wingdings" w:hint="default"/>
      </w:rPr>
    </w:lvl>
    <w:lvl w:ilvl="6" w:tplc="06147E70" w:tentative="1">
      <w:start w:val="1"/>
      <w:numFmt w:val="bullet"/>
      <w:lvlText w:val=""/>
      <w:lvlJc w:val="left"/>
      <w:pPr>
        <w:ind w:left="5040" w:hanging="360"/>
      </w:pPr>
      <w:rPr>
        <w:rFonts w:ascii="Symbol" w:hAnsi="Symbol" w:hint="default"/>
      </w:rPr>
    </w:lvl>
    <w:lvl w:ilvl="7" w:tplc="076859FC" w:tentative="1">
      <w:start w:val="1"/>
      <w:numFmt w:val="bullet"/>
      <w:lvlText w:val="o"/>
      <w:lvlJc w:val="left"/>
      <w:pPr>
        <w:ind w:left="5760" w:hanging="360"/>
      </w:pPr>
      <w:rPr>
        <w:rFonts w:ascii="Courier New" w:hAnsi="Courier New" w:cs="Courier New" w:hint="default"/>
      </w:rPr>
    </w:lvl>
    <w:lvl w:ilvl="8" w:tplc="AA620412" w:tentative="1">
      <w:start w:val="1"/>
      <w:numFmt w:val="bullet"/>
      <w:lvlText w:val=""/>
      <w:lvlJc w:val="left"/>
      <w:pPr>
        <w:ind w:left="6480" w:hanging="360"/>
      </w:pPr>
      <w:rPr>
        <w:rFonts w:ascii="Wingdings" w:hAnsi="Wingdings" w:hint="default"/>
      </w:rPr>
    </w:lvl>
  </w:abstractNum>
  <w:abstractNum w:abstractNumId="1" w15:restartNumberingAfterBreak="0">
    <w:nsid w:val="0D1B04F2"/>
    <w:multiLevelType w:val="multilevel"/>
    <w:tmpl w:val="F1D2BC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F060D89"/>
    <w:multiLevelType w:val="hybridMultilevel"/>
    <w:tmpl w:val="C5D645D8"/>
    <w:lvl w:ilvl="0" w:tplc="99B09ECE">
      <w:start w:val="1"/>
      <w:numFmt w:val="bullet"/>
      <w:lvlText w:val=""/>
      <w:lvlJc w:val="left"/>
      <w:pPr>
        <w:ind w:left="720" w:hanging="360"/>
      </w:pPr>
      <w:rPr>
        <w:rFonts w:ascii="Symbol" w:hAnsi="Symbol" w:hint="default"/>
      </w:rPr>
    </w:lvl>
    <w:lvl w:ilvl="1" w:tplc="E3527A8A" w:tentative="1">
      <w:start w:val="1"/>
      <w:numFmt w:val="bullet"/>
      <w:lvlText w:val="o"/>
      <w:lvlJc w:val="left"/>
      <w:pPr>
        <w:ind w:left="1440" w:hanging="360"/>
      </w:pPr>
      <w:rPr>
        <w:rFonts w:ascii="Courier New" w:hAnsi="Courier New" w:cs="Courier New" w:hint="default"/>
      </w:rPr>
    </w:lvl>
    <w:lvl w:ilvl="2" w:tplc="5CD01A3E" w:tentative="1">
      <w:start w:val="1"/>
      <w:numFmt w:val="bullet"/>
      <w:lvlText w:val=""/>
      <w:lvlJc w:val="left"/>
      <w:pPr>
        <w:ind w:left="2160" w:hanging="360"/>
      </w:pPr>
      <w:rPr>
        <w:rFonts w:ascii="Wingdings" w:hAnsi="Wingdings" w:hint="default"/>
      </w:rPr>
    </w:lvl>
    <w:lvl w:ilvl="3" w:tplc="1340F18C" w:tentative="1">
      <w:start w:val="1"/>
      <w:numFmt w:val="bullet"/>
      <w:lvlText w:val=""/>
      <w:lvlJc w:val="left"/>
      <w:pPr>
        <w:ind w:left="2880" w:hanging="360"/>
      </w:pPr>
      <w:rPr>
        <w:rFonts w:ascii="Symbol" w:hAnsi="Symbol" w:hint="default"/>
      </w:rPr>
    </w:lvl>
    <w:lvl w:ilvl="4" w:tplc="42A89914" w:tentative="1">
      <w:start w:val="1"/>
      <w:numFmt w:val="bullet"/>
      <w:lvlText w:val="o"/>
      <w:lvlJc w:val="left"/>
      <w:pPr>
        <w:ind w:left="3600" w:hanging="360"/>
      </w:pPr>
      <w:rPr>
        <w:rFonts w:ascii="Courier New" w:hAnsi="Courier New" w:cs="Courier New" w:hint="default"/>
      </w:rPr>
    </w:lvl>
    <w:lvl w:ilvl="5" w:tplc="290C07C0" w:tentative="1">
      <w:start w:val="1"/>
      <w:numFmt w:val="bullet"/>
      <w:lvlText w:val=""/>
      <w:lvlJc w:val="left"/>
      <w:pPr>
        <w:ind w:left="4320" w:hanging="360"/>
      </w:pPr>
      <w:rPr>
        <w:rFonts w:ascii="Wingdings" w:hAnsi="Wingdings" w:hint="default"/>
      </w:rPr>
    </w:lvl>
    <w:lvl w:ilvl="6" w:tplc="BA920230" w:tentative="1">
      <w:start w:val="1"/>
      <w:numFmt w:val="bullet"/>
      <w:lvlText w:val=""/>
      <w:lvlJc w:val="left"/>
      <w:pPr>
        <w:ind w:left="5040" w:hanging="360"/>
      </w:pPr>
      <w:rPr>
        <w:rFonts w:ascii="Symbol" w:hAnsi="Symbol" w:hint="default"/>
      </w:rPr>
    </w:lvl>
    <w:lvl w:ilvl="7" w:tplc="3FE4935C" w:tentative="1">
      <w:start w:val="1"/>
      <w:numFmt w:val="bullet"/>
      <w:lvlText w:val="o"/>
      <w:lvlJc w:val="left"/>
      <w:pPr>
        <w:ind w:left="5760" w:hanging="360"/>
      </w:pPr>
      <w:rPr>
        <w:rFonts w:ascii="Courier New" w:hAnsi="Courier New" w:cs="Courier New" w:hint="default"/>
      </w:rPr>
    </w:lvl>
    <w:lvl w:ilvl="8" w:tplc="B01A8314" w:tentative="1">
      <w:start w:val="1"/>
      <w:numFmt w:val="bullet"/>
      <w:lvlText w:val=""/>
      <w:lvlJc w:val="left"/>
      <w:pPr>
        <w:ind w:left="6480" w:hanging="360"/>
      </w:pPr>
      <w:rPr>
        <w:rFonts w:ascii="Wingdings" w:hAnsi="Wingdings" w:hint="default"/>
      </w:rPr>
    </w:lvl>
  </w:abstractNum>
  <w:abstractNum w:abstractNumId="3" w15:restartNumberingAfterBreak="0">
    <w:nsid w:val="1529788C"/>
    <w:multiLevelType w:val="hybridMultilevel"/>
    <w:tmpl w:val="A4A01B66"/>
    <w:lvl w:ilvl="0" w:tplc="2F342360">
      <w:start w:val="1"/>
      <w:numFmt w:val="bullet"/>
      <w:lvlText w:val=""/>
      <w:lvlJc w:val="left"/>
      <w:pPr>
        <w:ind w:left="720" w:hanging="360"/>
      </w:pPr>
      <w:rPr>
        <w:rFonts w:ascii="Symbol" w:hAnsi="Symbol" w:hint="default"/>
      </w:rPr>
    </w:lvl>
    <w:lvl w:ilvl="1" w:tplc="871CE752" w:tentative="1">
      <w:start w:val="1"/>
      <w:numFmt w:val="bullet"/>
      <w:lvlText w:val="o"/>
      <w:lvlJc w:val="left"/>
      <w:pPr>
        <w:ind w:left="1440" w:hanging="360"/>
      </w:pPr>
      <w:rPr>
        <w:rFonts w:ascii="Courier New" w:hAnsi="Courier New" w:cs="Courier New" w:hint="default"/>
      </w:rPr>
    </w:lvl>
    <w:lvl w:ilvl="2" w:tplc="D68A1F6A" w:tentative="1">
      <w:start w:val="1"/>
      <w:numFmt w:val="bullet"/>
      <w:lvlText w:val=""/>
      <w:lvlJc w:val="left"/>
      <w:pPr>
        <w:ind w:left="2160" w:hanging="360"/>
      </w:pPr>
      <w:rPr>
        <w:rFonts w:ascii="Wingdings" w:hAnsi="Wingdings" w:hint="default"/>
      </w:rPr>
    </w:lvl>
    <w:lvl w:ilvl="3" w:tplc="9990D9E2" w:tentative="1">
      <w:start w:val="1"/>
      <w:numFmt w:val="bullet"/>
      <w:lvlText w:val=""/>
      <w:lvlJc w:val="left"/>
      <w:pPr>
        <w:ind w:left="2880" w:hanging="360"/>
      </w:pPr>
      <w:rPr>
        <w:rFonts w:ascii="Symbol" w:hAnsi="Symbol" w:hint="default"/>
      </w:rPr>
    </w:lvl>
    <w:lvl w:ilvl="4" w:tplc="466881E2" w:tentative="1">
      <w:start w:val="1"/>
      <w:numFmt w:val="bullet"/>
      <w:lvlText w:val="o"/>
      <w:lvlJc w:val="left"/>
      <w:pPr>
        <w:ind w:left="3600" w:hanging="360"/>
      </w:pPr>
      <w:rPr>
        <w:rFonts w:ascii="Courier New" w:hAnsi="Courier New" w:cs="Courier New" w:hint="default"/>
      </w:rPr>
    </w:lvl>
    <w:lvl w:ilvl="5" w:tplc="4712E624" w:tentative="1">
      <w:start w:val="1"/>
      <w:numFmt w:val="bullet"/>
      <w:lvlText w:val=""/>
      <w:lvlJc w:val="left"/>
      <w:pPr>
        <w:ind w:left="4320" w:hanging="360"/>
      </w:pPr>
      <w:rPr>
        <w:rFonts w:ascii="Wingdings" w:hAnsi="Wingdings" w:hint="default"/>
      </w:rPr>
    </w:lvl>
    <w:lvl w:ilvl="6" w:tplc="97701712" w:tentative="1">
      <w:start w:val="1"/>
      <w:numFmt w:val="bullet"/>
      <w:lvlText w:val=""/>
      <w:lvlJc w:val="left"/>
      <w:pPr>
        <w:ind w:left="5040" w:hanging="360"/>
      </w:pPr>
      <w:rPr>
        <w:rFonts w:ascii="Symbol" w:hAnsi="Symbol" w:hint="default"/>
      </w:rPr>
    </w:lvl>
    <w:lvl w:ilvl="7" w:tplc="61661AFC" w:tentative="1">
      <w:start w:val="1"/>
      <w:numFmt w:val="bullet"/>
      <w:lvlText w:val="o"/>
      <w:lvlJc w:val="left"/>
      <w:pPr>
        <w:ind w:left="5760" w:hanging="360"/>
      </w:pPr>
      <w:rPr>
        <w:rFonts w:ascii="Courier New" w:hAnsi="Courier New" w:cs="Courier New" w:hint="default"/>
      </w:rPr>
    </w:lvl>
    <w:lvl w:ilvl="8" w:tplc="A8229946" w:tentative="1">
      <w:start w:val="1"/>
      <w:numFmt w:val="bullet"/>
      <w:lvlText w:val=""/>
      <w:lvlJc w:val="left"/>
      <w:pPr>
        <w:ind w:left="6480" w:hanging="360"/>
      </w:pPr>
      <w:rPr>
        <w:rFonts w:ascii="Wingdings" w:hAnsi="Wingdings" w:hint="default"/>
      </w:rPr>
    </w:lvl>
  </w:abstractNum>
  <w:abstractNum w:abstractNumId="4" w15:restartNumberingAfterBreak="0">
    <w:nsid w:val="45BA4054"/>
    <w:multiLevelType w:val="hybridMultilevel"/>
    <w:tmpl w:val="B83AFB66"/>
    <w:lvl w:ilvl="0" w:tplc="747E8616">
      <w:start w:val="1"/>
      <w:numFmt w:val="lowerRoman"/>
      <w:lvlText w:val="(%1)"/>
      <w:lvlJc w:val="left"/>
      <w:pPr>
        <w:ind w:left="1080" w:hanging="720"/>
      </w:pPr>
      <w:rPr>
        <w:rFonts w:hint="default"/>
      </w:rPr>
    </w:lvl>
    <w:lvl w:ilvl="1" w:tplc="64D01186" w:tentative="1">
      <w:start w:val="1"/>
      <w:numFmt w:val="lowerLetter"/>
      <w:lvlText w:val="%2."/>
      <w:lvlJc w:val="left"/>
      <w:pPr>
        <w:ind w:left="1440" w:hanging="360"/>
      </w:pPr>
    </w:lvl>
    <w:lvl w:ilvl="2" w:tplc="83ACD434" w:tentative="1">
      <w:start w:val="1"/>
      <w:numFmt w:val="lowerRoman"/>
      <w:lvlText w:val="%3."/>
      <w:lvlJc w:val="right"/>
      <w:pPr>
        <w:ind w:left="2160" w:hanging="180"/>
      </w:pPr>
    </w:lvl>
    <w:lvl w:ilvl="3" w:tplc="7D628432" w:tentative="1">
      <w:start w:val="1"/>
      <w:numFmt w:val="decimal"/>
      <w:lvlText w:val="%4."/>
      <w:lvlJc w:val="left"/>
      <w:pPr>
        <w:ind w:left="2880" w:hanging="360"/>
      </w:pPr>
    </w:lvl>
    <w:lvl w:ilvl="4" w:tplc="F0E2AAF2" w:tentative="1">
      <w:start w:val="1"/>
      <w:numFmt w:val="lowerLetter"/>
      <w:lvlText w:val="%5."/>
      <w:lvlJc w:val="left"/>
      <w:pPr>
        <w:ind w:left="3600" w:hanging="360"/>
      </w:pPr>
    </w:lvl>
    <w:lvl w:ilvl="5" w:tplc="8C925200" w:tentative="1">
      <w:start w:val="1"/>
      <w:numFmt w:val="lowerRoman"/>
      <w:lvlText w:val="%6."/>
      <w:lvlJc w:val="right"/>
      <w:pPr>
        <w:ind w:left="4320" w:hanging="180"/>
      </w:pPr>
    </w:lvl>
    <w:lvl w:ilvl="6" w:tplc="5F522DE8" w:tentative="1">
      <w:start w:val="1"/>
      <w:numFmt w:val="decimal"/>
      <w:lvlText w:val="%7."/>
      <w:lvlJc w:val="left"/>
      <w:pPr>
        <w:ind w:left="5040" w:hanging="360"/>
      </w:pPr>
    </w:lvl>
    <w:lvl w:ilvl="7" w:tplc="76FE8C70" w:tentative="1">
      <w:start w:val="1"/>
      <w:numFmt w:val="lowerLetter"/>
      <w:lvlText w:val="%8."/>
      <w:lvlJc w:val="left"/>
      <w:pPr>
        <w:ind w:left="5760" w:hanging="360"/>
      </w:pPr>
    </w:lvl>
    <w:lvl w:ilvl="8" w:tplc="35B604F0" w:tentative="1">
      <w:start w:val="1"/>
      <w:numFmt w:val="lowerRoman"/>
      <w:lvlText w:val="%9."/>
      <w:lvlJc w:val="right"/>
      <w:pPr>
        <w:ind w:left="6480" w:hanging="180"/>
      </w:pPr>
    </w:lvl>
  </w:abstractNum>
  <w:abstractNum w:abstractNumId="5" w15:restartNumberingAfterBreak="0">
    <w:nsid w:val="5BC021F2"/>
    <w:multiLevelType w:val="multilevel"/>
    <w:tmpl w:val="EEE45F1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48E2F9B"/>
    <w:multiLevelType w:val="hybridMultilevel"/>
    <w:tmpl w:val="35DED682"/>
    <w:lvl w:ilvl="0" w:tplc="165AC5F4">
      <w:start w:val="1"/>
      <w:numFmt w:val="bullet"/>
      <w:lvlText w:val=""/>
      <w:lvlJc w:val="left"/>
      <w:pPr>
        <w:ind w:left="720" w:hanging="360"/>
      </w:pPr>
      <w:rPr>
        <w:rFonts w:ascii="Symbol" w:hAnsi="Symbol" w:hint="default"/>
      </w:rPr>
    </w:lvl>
    <w:lvl w:ilvl="1" w:tplc="A5E250BE" w:tentative="1">
      <w:start w:val="1"/>
      <w:numFmt w:val="bullet"/>
      <w:lvlText w:val="o"/>
      <w:lvlJc w:val="left"/>
      <w:pPr>
        <w:ind w:left="1440" w:hanging="360"/>
      </w:pPr>
      <w:rPr>
        <w:rFonts w:ascii="Courier New" w:hAnsi="Courier New" w:cs="Courier New" w:hint="default"/>
      </w:rPr>
    </w:lvl>
    <w:lvl w:ilvl="2" w:tplc="F94C841E" w:tentative="1">
      <w:start w:val="1"/>
      <w:numFmt w:val="bullet"/>
      <w:lvlText w:val=""/>
      <w:lvlJc w:val="left"/>
      <w:pPr>
        <w:ind w:left="2160" w:hanging="360"/>
      </w:pPr>
      <w:rPr>
        <w:rFonts w:ascii="Wingdings" w:hAnsi="Wingdings" w:hint="default"/>
      </w:rPr>
    </w:lvl>
    <w:lvl w:ilvl="3" w:tplc="05DE9028" w:tentative="1">
      <w:start w:val="1"/>
      <w:numFmt w:val="bullet"/>
      <w:lvlText w:val=""/>
      <w:lvlJc w:val="left"/>
      <w:pPr>
        <w:ind w:left="2880" w:hanging="360"/>
      </w:pPr>
      <w:rPr>
        <w:rFonts w:ascii="Symbol" w:hAnsi="Symbol" w:hint="default"/>
      </w:rPr>
    </w:lvl>
    <w:lvl w:ilvl="4" w:tplc="B7DA976A" w:tentative="1">
      <w:start w:val="1"/>
      <w:numFmt w:val="bullet"/>
      <w:lvlText w:val="o"/>
      <w:lvlJc w:val="left"/>
      <w:pPr>
        <w:ind w:left="3600" w:hanging="360"/>
      </w:pPr>
      <w:rPr>
        <w:rFonts w:ascii="Courier New" w:hAnsi="Courier New" w:cs="Courier New" w:hint="default"/>
      </w:rPr>
    </w:lvl>
    <w:lvl w:ilvl="5" w:tplc="4022CAA8" w:tentative="1">
      <w:start w:val="1"/>
      <w:numFmt w:val="bullet"/>
      <w:lvlText w:val=""/>
      <w:lvlJc w:val="left"/>
      <w:pPr>
        <w:ind w:left="4320" w:hanging="360"/>
      </w:pPr>
      <w:rPr>
        <w:rFonts w:ascii="Wingdings" w:hAnsi="Wingdings" w:hint="default"/>
      </w:rPr>
    </w:lvl>
    <w:lvl w:ilvl="6" w:tplc="25C079DA" w:tentative="1">
      <w:start w:val="1"/>
      <w:numFmt w:val="bullet"/>
      <w:lvlText w:val=""/>
      <w:lvlJc w:val="left"/>
      <w:pPr>
        <w:ind w:left="5040" w:hanging="360"/>
      </w:pPr>
      <w:rPr>
        <w:rFonts w:ascii="Symbol" w:hAnsi="Symbol" w:hint="default"/>
      </w:rPr>
    </w:lvl>
    <w:lvl w:ilvl="7" w:tplc="148A343C" w:tentative="1">
      <w:start w:val="1"/>
      <w:numFmt w:val="bullet"/>
      <w:lvlText w:val="o"/>
      <w:lvlJc w:val="left"/>
      <w:pPr>
        <w:ind w:left="5760" w:hanging="360"/>
      </w:pPr>
      <w:rPr>
        <w:rFonts w:ascii="Courier New" w:hAnsi="Courier New" w:cs="Courier New" w:hint="default"/>
      </w:rPr>
    </w:lvl>
    <w:lvl w:ilvl="8" w:tplc="61CAE458"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B77"/>
    <w:rsid w:val="00027B77"/>
    <w:rsid w:val="007147C7"/>
    <w:rsid w:val="00FC1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25C96-D805-4819-81A4-5360F8FC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D3134F"/>
    <w:pPr>
      <w:keepNext/>
      <w:keepLines/>
      <w:spacing w:before="40" w:after="0" w:line="249" w:lineRule="auto"/>
      <w:ind w:left="542" w:hanging="542"/>
      <w:outlineLvl w:val="4"/>
    </w:pPr>
    <w:rPr>
      <w:rFonts w:asciiTheme="majorHAnsi" w:eastAsiaTheme="majorEastAsia" w:hAnsiTheme="majorHAnsi" w:cstheme="majorBidi"/>
      <w:color w:val="365F91" w:themeColor="accent1" w:themeShade="BF"/>
      <w:sz w:val="24"/>
      <w:szCs w:val="24"/>
      <w:lang w:eastAsia="en-GB"/>
    </w:rPr>
  </w:style>
  <w:style w:type="paragraph" w:styleId="Heading6">
    <w:name w:val="heading 6"/>
    <w:basedOn w:val="Normal"/>
    <w:next w:val="Normal"/>
    <w:link w:val="Heading6Char"/>
    <w:uiPriority w:val="9"/>
    <w:semiHidden/>
    <w:unhideWhenUsed/>
    <w:qFormat/>
    <w:rsid w:val="00D3134F"/>
    <w:pPr>
      <w:keepNext/>
      <w:keepLines/>
      <w:spacing w:before="40" w:after="0" w:line="249" w:lineRule="auto"/>
      <w:ind w:left="542" w:hanging="542"/>
      <w:outlineLvl w:val="5"/>
    </w:pPr>
    <w:rPr>
      <w:rFonts w:asciiTheme="majorHAnsi" w:eastAsiaTheme="majorEastAsia" w:hAnsiTheme="majorHAnsi" w:cstheme="majorBidi"/>
      <w:color w:val="243F60" w:themeColor="accent1" w:themeShade="7F"/>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40F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F6A"/>
  </w:style>
  <w:style w:type="paragraph" w:styleId="Footer">
    <w:name w:val="footer"/>
    <w:basedOn w:val="Normal"/>
    <w:link w:val="FooterChar"/>
    <w:uiPriority w:val="99"/>
    <w:unhideWhenUsed/>
    <w:rsid w:val="00440F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F6A"/>
  </w:style>
  <w:style w:type="paragraph" w:styleId="ListParagraph">
    <w:name w:val="List Paragraph"/>
    <w:basedOn w:val="Normal"/>
    <w:uiPriority w:val="34"/>
    <w:qFormat/>
    <w:rsid w:val="00F41D53"/>
    <w:pPr>
      <w:ind w:left="720"/>
      <w:contextualSpacing/>
    </w:pPr>
  </w:style>
  <w:style w:type="paragraph" w:styleId="NoSpacing">
    <w:name w:val="No Spacing"/>
    <w:uiPriority w:val="1"/>
    <w:qFormat/>
    <w:rsid w:val="00ED346B"/>
    <w:pPr>
      <w:spacing w:after="0" w:line="240" w:lineRule="auto"/>
    </w:pPr>
    <w:rPr>
      <w:rFonts w:ascii="Arial" w:hAnsi="Arial"/>
      <w:sz w:val="24"/>
    </w:rPr>
  </w:style>
  <w:style w:type="character" w:customStyle="1" w:styleId="Heading5Char">
    <w:name w:val="Heading 5 Char"/>
    <w:basedOn w:val="DefaultParagraphFont"/>
    <w:link w:val="Heading5"/>
    <w:uiPriority w:val="9"/>
    <w:semiHidden/>
    <w:rsid w:val="00D3134F"/>
    <w:rPr>
      <w:rFonts w:asciiTheme="majorHAnsi" w:eastAsiaTheme="majorEastAsia" w:hAnsiTheme="majorHAnsi" w:cstheme="majorBidi"/>
      <w:color w:val="365F91" w:themeColor="accent1" w:themeShade="BF"/>
      <w:sz w:val="24"/>
      <w:szCs w:val="24"/>
      <w:lang w:eastAsia="en-GB"/>
    </w:rPr>
  </w:style>
  <w:style w:type="character" w:customStyle="1" w:styleId="Heading6Char">
    <w:name w:val="Heading 6 Char"/>
    <w:basedOn w:val="DefaultParagraphFont"/>
    <w:link w:val="Heading6"/>
    <w:uiPriority w:val="9"/>
    <w:semiHidden/>
    <w:rsid w:val="00D3134F"/>
    <w:rPr>
      <w:rFonts w:asciiTheme="majorHAnsi" w:eastAsiaTheme="majorEastAsia" w:hAnsiTheme="majorHAnsi" w:cstheme="majorBidi"/>
      <w:color w:val="243F60" w:themeColor="accent1" w:themeShade="7F"/>
      <w:sz w:val="24"/>
      <w:szCs w:val="24"/>
      <w:lang w:eastAsia="en-GB"/>
    </w:rPr>
  </w:style>
  <w:style w:type="paragraph" w:styleId="BalloonText">
    <w:name w:val="Balloon Text"/>
    <w:basedOn w:val="Normal"/>
    <w:link w:val="BalloonTextChar"/>
    <w:uiPriority w:val="99"/>
    <w:semiHidden/>
    <w:unhideWhenUsed/>
    <w:rsid w:val="00527A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AB7"/>
    <w:rPr>
      <w:rFonts w:ascii="Segoe UI" w:hAnsi="Segoe UI" w:cs="Segoe UI"/>
      <w:sz w:val="18"/>
      <w:szCs w:val="18"/>
    </w:rPr>
  </w:style>
  <w:style w:type="paragraph" w:styleId="Revision">
    <w:name w:val="Revision"/>
    <w:hidden/>
    <w:uiPriority w:val="99"/>
    <w:semiHidden/>
    <w:rsid w:val="00527A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nne.ainsworth@lancashire.gov.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CorpData01\LCCUsers3$\jainsworth001\My%20Documents\0001.%20city%20deal%20meeting%20notes\project%20team\13-11-17\City%20Deal%20working%20model%20Oct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800" b="1" i="0" u="sng" strike="noStrike" kern="1200" spc="0" baseline="0">
                <a:solidFill>
                  <a:schemeClr val="tx1">
                    <a:lumMod val="65000"/>
                    <a:lumOff val="35000"/>
                  </a:schemeClr>
                </a:solidFill>
                <a:latin typeface="+mn-lt"/>
                <a:ea typeface="+mn-ea"/>
                <a:cs typeface="+mn-cs"/>
              </a:defRPr>
            </a:pPr>
            <a:r>
              <a:rPr lang="en-US" sz="2800" b="1" u="sng"/>
              <a:t>Resources 2017/18</a:t>
            </a:r>
          </a:p>
          <a:p>
            <a:pPr>
              <a:defRPr sz="2800" b="1" i="0" u="sng" strike="noStrike" kern="1200" spc="0" baseline="0">
                <a:solidFill>
                  <a:schemeClr val="tx1">
                    <a:lumMod val="65000"/>
                    <a:lumOff val="35000"/>
                  </a:schemeClr>
                </a:solidFill>
                <a:latin typeface="+mn-lt"/>
                <a:ea typeface="+mn-ea"/>
                <a:cs typeface="+mn-cs"/>
              </a:defRPr>
            </a:pPr>
            <a:endParaRPr lang="en-US" sz="2800" b="1" u="sng"/>
          </a:p>
          <a:p>
            <a:pPr>
              <a:defRPr sz="2800" b="1" i="0" u="sng" strike="noStrike" kern="1200" spc="0" baseline="0">
                <a:solidFill>
                  <a:schemeClr val="tx1">
                    <a:lumMod val="65000"/>
                    <a:lumOff val="35000"/>
                  </a:schemeClr>
                </a:solidFill>
                <a:latin typeface="+mn-lt"/>
                <a:ea typeface="+mn-ea"/>
                <a:cs typeface="+mn-cs"/>
              </a:defRPr>
            </a:pPr>
            <a:endParaRPr lang="en-US" sz="2800" b="1" u="sng"/>
          </a:p>
        </c:rich>
      </c:tx>
      <c:layout/>
      <c:overlay val="0"/>
      <c:spPr>
        <a:noFill/>
        <a:ln>
          <a:noFill/>
        </a:ln>
        <a:effectLst/>
      </c:spPr>
    </c:title>
    <c:autoTitleDeleted val="0"/>
    <c:plotArea>
      <c:layout>
        <c:manualLayout>
          <c:layoutTarget val="inner"/>
          <c:xMode val="edge"/>
          <c:yMode val="edge"/>
          <c:x val="7.4149895176024022E-2"/>
          <c:y val="0.29333329265150215"/>
          <c:w val="0.88715333975199406"/>
          <c:h val="0.38367387409907094"/>
        </c:manualLayout>
      </c:layout>
      <c:barChart>
        <c:barDir val="col"/>
        <c:grouping val="clustered"/>
        <c:varyColors val="0"/>
        <c:ser>
          <c:idx val="0"/>
          <c:order val="0"/>
          <c:tx>
            <c:strRef>
              <c:f>'Monitoring report &amp; tables'!$B$312</c:f>
              <c:strCache>
                <c:ptCount val="1"/>
                <c:pt idx="0">
                  <c:v>2017/18 Forecast per Business Plan</c:v>
                </c:pt>
              </c:strCache>
            </c:strRef>
          </c:tx>
          <c:spPr>
            <a:solidFill>
              <a:srgbClr val="FF9933"/>
            </a:solidFill>
            <a:ln>
              <a:solidFill>
                <a:srgbClr val="FF9933"/>
              </a:solidFill>
            </a:ln>
            <a:effectLst/>
          </c:spPr>
          <c:invertIfNegative val="0"/>
          <c:dLbls>
            <c:spPr>
              <a:noFill/>
              <a:ln>
                <a:noFill/>
              </a:ln>
              <a:effectLst/>
            </c:spPr>
            <c:txPr>
              <a:bodyPr rot="-2700000" spcFirstLastPara="1" vertOverflow="ellipsis"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'Monitoring report &amp; tables'!$A$316:$A$321</c:f>
              <c:strCache>
                <c:ptCount val="6"/>
                <c:pt idx="0">
                  <c:v>Central Government</c:v>
                </c:pt>
                <c:pt idx="1">
                  <c:v>Lancashire County Council</c:v>
                </c:pt>
                <c:pt idx="2">
                  <c:v>Preston city Council </c:v>
                </c:pt>
                <c:pt idx="3">
                  <c:v>South Ribble Borough Council</c:v>
                </c:pt>
                <c:pt idx="4">
                  <c:v>Developer Contributions - Preston</c:v>
                </c:pt>
                <c:pt idx="5">
                  <c:v>Developer Contributions - South ribble</c:v>
                </c:pt>
              </c:strCache>
            </c:strRef>
          </c:cat>
          <c:val>
            <c:numRef>
              <c:f>'Monitoring report &amp; tables'!$B$316:$B$321</c:f>
              <c:numCache>
                <c:formatCode>_-* #,##0.000_-;\-* #,##0.000_-;_-* "-"??_-;_-@_-</c:formatCode>
                <c:ptCount val="6"/>
                <c:pt idx="0">
                  <c:v>47.815844491199996</c:v>
                </c:pt>
                <c:pt idx="1">
                  <c:v>25.50161156079076</c:v>
                </c:pt>
                <c:pt idx="2">
                  <c:v>8.3520254151931628</c:v>
                </c:pt>
                <c:pt idx="3">
                  <c:v>6.890012292150848</c:v>
                </c:pt>
                <c:pt idx="4">
                  <c:v>23.923905071</c:v>
                </c:pt>
                <c:pt idx="5">
                  <c:v>20.393390655999998</c:v>
                </c:pt>
              </c:numCache>
            </c:numRef>
          </c:val>
        </c:ser>
        <c:ser>
          <c:idx val="5"/>
          <c:order val="1"/>
          <c:tx>
            <c:strRef>
              <c:f>'Monitoring report &amp; tables'!$G$312:$G$313</c:f>
              <c:strCache>
                <c:ptCount val="2"/>
                <c:pt idx="0">
                  <c:v>2017/18 Current forecast</c:v>
                </c:pt>
              </c:strCache>
            </c:strRef>
          </c:tx>
          <c:spPr>
            <a:solidFill>
              <a:srgbClr val="1F497D">
                <a:lumMod val="60000"/>
                <a:lumOff val="40000"/>
              </a:srgbClr>
            </a:solidFill>
            <a:ln>
              <a:no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'Monitoring report &amp; tables'!$A$316:$A$321</c:f>
              <c:strCache>
                <c:ptCount val="6"/>
                <c:pt idx="0">
                  <c:v>Central Government</c:v>
                </c:pt>
                <c:pt idx="1">
                  <c:v>Lancashire County Council</c:v>
                </c:pt>
                <c:pt idx="2">
                  <c:v>Preston city Council </c:v>
                </c:pt>
                <c:pt idx="3">
                  <c:v>South Ribble Borough Council</c:v>
                </c:pt>
                <c:pt idx="4">
                  <c:v>Developer Contributions - Preston</c:v>
                </c:pt>
                <c:pt idx="5">
                  <c:v>Developer Contributions - South ribble</c:v>
                </c:pt>
              </c:strCache>
            </c:strRef>
          </c:cat>
          <c:val>
            <c:numRef>
              <c:f>'Monitoring report &amp; tables'!$G$316:$G$321</c:f>
              <c:numCache>
                <c:formatCode>_-* #,##0.000_-;\-* #,##0.000_-;_-* "-"??_-;_-@_-</c:formatCode>
                <c:ptCount val="6"/>
                <c:pt idx="0">
                  <c:v>56.410499626000004</c:v>
                </c:pt>
                <c:pt idx="1">
                  <c:v>23.147925811843745</c:v>
                </c:pt>
                <c:pt idx="2">
                  <c:v>8.2944417975931621</c:v>
                </c:pt>
                <c:pt idx="3">
                  <c:v>7.0440997297508474</c:v>
                </c:pt>
                <c:pt idx="4">
                  <c:v>24.602892504000003</c:v>
                </c:pt>
                <c:pt idx="5">
                  <c:v>20.778346755999998</c:v>
                </c:pt>
              </c:numCache>
            </c:numRef>
          </c:val>
        </c:ser>
        <c:ser>
          <c:idx val="10"/>
          <c:order val="2"/>
          <c:tx>
            <c:strRef>
              <c:f>'Monitoring report &amp; tables'!$L$312</c:f>
              <c:strCache>
                <c:ptCount val="1"/>
                <c:pt idx="0">
                  <c:v>Actuals Qtr 1&amp;2 2017/18</c:v>
                </c:pt>
              </c:strCache>
            </c:strRef>
          </c:tx>
          <c:spPr>
            <a:solidFill>
              <a:sysClr val="window" lastClr="FFFFFF">
                <a:lumMod val="65000"/>
              </a:sysClr>
            </a:solidFill>
            <a:ln>
              <a:no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'Monitoring report &amp; tables'!$A$316:$A$321</c:f>
              <c:strCache>
                <c:ptCount val="6"/>
                <c:pt idx="0">
                  <c:v>Central Government</c:v>
                </c:pt>
                <c:pt idx="1">
                  <c:v>Lancashire County Council</c:v>
                </c:pt>
                <c:pt idx="2">
                  <c:v>Preston city Council </c:v>
                </c:pt>
                <c:pt idx="3">
                  <c:v>South Ribble Borough Council</c:v>
                </c:pt>
                <c:pt idx="4">
                  <c:v>Developer Contributions - Preston</c:v>
                </c:pt>
                <c:pt idx="5">
                  <c:v>Developer Contributions - South ribble</c:v>
                </c:pt>
              </c:strCache>
            </c:strRef>
          </c:cat>
          <c:val>
            <c:numRef>
              <c:f>'Monitoring report &amp; tables'!$L$316:$L$321</c:f>
              <c:numCache>
                <c:formatCode>_-* #,##0.000_-;\-* #,##0.000_-;_-* "-"??_-;_-@_-</c:formatCode>
                <c:ptCount val="6"/>
                <c:pt idx="0">
                  <c:v>3.7210000000000001</c:v>
                </c:pt>
                <c:pt idx="1">
                  <c:v>0</c:v>
                </c:pt>
                <c:pt idx="2">
                  <c:v>0.20100000000000001</c:v>
                </c:pt>
                <c:pt idx="3">
                  <c:v>0.24099999999999999</c:v>
                </c:pt>
                <c:pt idx="4">
                  <c:v>2.0870000000000002</c:v>
                </c:pt>
                <c:pt idx="5">
                  <c:v>0.53900000000000003</c:v>
                </c:pt>
              </c:numCache>
            </c:numRef>
          </c:val>
        </c:ser>
        <c:dLbls>
          <c:showLegendKey val="0"/>
          <c:showVal val="0"/>
          <c:showCatName val="0"/>
          <c:showSerName val="0"/>
          <c:showPercent val="0"/>
          <c:showBubbleSize val="0"/>
        </c:dLbls>
        <c:gapWidth val="219"/>
        <c:overlap val="-27"/>
        <c:axId val="311312472"/>
        <c:axId val="311349432"/>
      </c:barChart>
      <c:catAx>
        <c:axId val="3113124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11349432"/>
        <c:crosses val="autoZero"/>
        <c:auto val="1"/>
        <c:lblAlgn val="ctr"/>
        <c:lblOffset val="100"/>
        <c:noMultiLvlLbl val="0"/>
      </c:catAx>
      <c:valAx>
        <c:axId val="311349432"/>
        <c:scaling>
          <c:orientation val="minMax"/>
        </c:scaling>
        <c:delete val="0"/>
        <c:axPos val="l"/>
        <c:majorGridlines>
          <c:spPr>
            <a:ln w="9525">
              <a:solidFill>
                <a:schemeClr val="tx1">
                  <a:lumMod val="15000"/>
                  <a:lumOff val="85000"/>
                </a:schemeClr>
              </a:solidFill>
              <a:round/>
            </a:ln>
            <a:effectLst/>
          </c:spPr>
        </c:majorGridlines>
        <c:numFmt formatCode="_-* #,##0.000_-;\-* #,##0.000_-;_-* &quot;-&quot;??_-;_-@_-" sourceLinked="1"/>
        <c:majorTickMark val="none"/>
        <c:minorTickMark val="none"/>
        <c:tickLblPos val="nextTo"/>
        <c:spPr>
          <a:noFill/>
          <a:ln>
            <a:noFill/>
          </a:ln>
          <a:effectLst/>
        </c:spPr>
        <c:txPr>
          <a:bodyPr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11312472"/>
        <c:crosses val="autoZero"/>
        <c:crossBetween val="between"/>
      </c:valAx>
      <c:spPr>
        <a:noFill/>
        <a:ln>
          <a:noFill/>
        </a:ln>
        <a:effectLst/>
      </c:spPr>
    </c:plotArea>
    <c:legend>
      <c:legendPos val="r"/>
      <c:layout>
        <c:manualLayout>
          <c:xMode val="edge"/>
          <c:yMode val="edge"/>
          <c:x val="0.37371041837142394"/>
          <c:y val="0.10841294838145232"/>
          <c:w val="0.61407709312205694"/>
          <c:h val="0.2190574511519393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1200" baseline="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sng" strike="noStrike" kern="1200" spc="0" baseline="0">
                <a:solidFill>
                  <a:schemeClr val="tx1">
                    <a:lumMod val="65000"/>
                    <a:lumOff val="35000"/>
                  </a:schemeClr>
                </a:solidFill>
                <a:latin typeface="+mn-lt"/>
                <a:ea typeface="+mn-ea"/>
                <a:cs typeface="+mn-cs"/>
              </a:defRPr>
            </a:pPr>
            <a:r>
              <a:rPr lang="en-US" sz="2000" b="1" u="sng"/>
              <a:t>Expenditure 2017/18</a:t>
            </a:r>
          </a:p>
        </c:rich>
      </c:tx>
      <c:layout/>
      <c:overlay val="0"/>
      <c:spPr>
        <a:noFill/>
        <a:ln>
          <a:noFill/>
        </a:ln>
        <a:effectLst/>
      </c:spPr>
    </c:title>
    <c:autoTitleDeleted val="0"/>
    <c:plotArea>
      <c:layout>
        <c:manualLayout>
          <c:layoutTarget val="inner"/>
          <c:xMode val="edge"/>
          <c:yMode val="edge"/>
          <c:x val="0.11890090892896533"/>
          <c:y val="0.13329179646936659"/>
          <c:w val="0.77404245800064497"/>
          <c:h val="0.49661409146286623"/>
        </c:manualLayout>
      </c:layout>
      <c:barChart>
        <c:barDir val="col"/>
        <c:grouping val="clustered"/>
        <c:varyColors val="0"/>
        <c:ser>
          <c:idx val="1"/>
          <c:order val="0"/>
          <c:tx>
            <c:strRef>
              <c:f>'Monitoring report &amp; tables'!$B$342</c:f>
              <c:strCache>
                <c:ptCount val="1"/>
                <c:pt idx="0">
                  <c:v>2017/18 Forecast per Business Plan</c:v>
                </c:pt>
              </c:strCache>
            </c:strRef>
          </c:tx>
          <c:spPr>
            <a:solidFill>
              <a:schemeClr val="accent2">
                <a:lumMod val="75000"/>
              </a:schemeClr>
            </a:solidFill>
            <a:ln>
              <a:noFill/>
            </a:ln>
            <a:effectLst/>
          </c:spPr>
          <c:invertIfNegative val="0"/>
          <c:dLbls>
            <c:spPr>
              <a:noFill/>
              <a:ln>
                <a:noFill/>
              </a:ln>
              <a:effectLst/>
            </c:spPr>
            <c:txPr>
              <a:bodyPr rot="-2700000" spcFirstLastPara="1" vertOverflow="ellipsis"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'Monitoring report &amp; tables'!$A$344:$A$358</c:f>
              <c:strCache>
                <c:ptCount val="13"/>
                <c:pt idx="0">
                  <c:v>Broughton Congestion Relief</c:v>
                </c:pt>
                <c:pt idx="1">
                  <c:v>Preston Western Distributor</c:v>
                </c:pt>
                <c:pt idx="2">
                  <c:v>North West Preston Infrastructure</c:v>
                </c:pt>
                <c:pt idx="3">
                  <c:v>City Centre Projects</c:v>
                </c:pt>
                <c:pt idx="4">
                  <c:v>South Ribble Distributor</c:v>
                </c:pt>
                <c:pt idx="5">
                  <c:v>Penwortham Bypass</c:v>
                </c:pt>
                <c:pt idx="6">
                  <c:v>South Ribble infrastructure</c:v>
                </c:pt>
                <c:pt idx="7">
                  <c:v>Transport Corridors</c:v>
                </c:pt>
                <c:pt idx="8">
                  <c:v>Education Provision</c:v>
                </c:pt>
                <c:pt idx="9">
                  <c:v>Community Provision </c:v>
                </c:pt>
                <c:pt idx="10">
                  <c:v>Other Schemes</c:v>
                </c:pt>
                <c:pt idx="12">
                  <c:v>Total</c:v>
                </c:pt>
              </c:strCache>
            </c:strRef>
          </c:cat>
          <c:val>
            <c:numRef>
              <c:f>'Monitoring report &amp; tables'!$B$346:$B$356</c:f>
              <c:numCache>
                <c:formatCode>_-* #,##0.000_-;\-* #,##0.000_-;_-* "-"??_-;_-@_-</c:formatCode>
                <c:ptCount val="9"/>
                <c:pt idx="0">
                  <c:v>15.540107142857142</c:v>
                </c:pt>
                <c:pt idx="1">
                  <c:v>22.657999999999998</c:v>
                </c:pt>
                <c:pt idx="2">
                  <c:v>26.582000000000001</c:v>
                </c:pt>
                <c:pt idx="3">
                  <c:v>15.573</c:v>
                </c:pt>
                <c:pt idx="4">
                  <c:v>17.356571428571428</c:v>
                </c:pt>
                <c:pt idx="5">
                  <c:v>19.469000000000001</c:v>
                </c:pt>
                <c:pt idx="6">
                  <c:v>14.375</c:v>
                </c:pt>
                <c:pt idx="7">
                  <c:v>3.8859000000000004</c:v>
                </c:pt>
                <c:pt idx="8">
                  <c:v>12.217763406029725</c:v>
                </c:pt>
              </c:numCache>
            </c:numRef>
          </c:val>
        </c:ser>
        <c:ser>
          <c:idx val="5"/>
          <c:order val="1"/>
          <c:tx>
            <c:strRef>
              <c:f>'Monitoring report &amp; tables'!$G$342</c:f>
              <c:strCache>
                <c:ptCount val="1"/>
                <c:pt idx="0">
                  <c:v>2017/18 Current forecast</c:v>
                </c:pt>
              </c:strCache>
            </c:strRef>
          </c:tx>
          <c:spPr>
            <a:solidFill>
              <a:schemeClr val="accent4">
                <a:lumMod val="60000"/>
                <a:lumOff val="40000"/>
              </a:schemeClr>
            </a:solidFill>
            <a:ln>
              <a:no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'Monitoring report &amp; tables'!$A$344:$A$358</c:f>
              <c:strCache>
                <c:ptCount val="13"/>
                <c:pt idx="0">
                  <c:v>Broughton Congestion Relief</c:v>
                </c:pt>
                <c:pt idx="1">
                  <c:v>Preston Western Distributor</c:v>
                </c:pt>
                <c:pt idx="2">
                  <c:v>North West Preston Infrastructure</c:v>
                </c:pt>
                <c:pt idx="3">
                  <c:v>City Centre Projects</c:v>
                </c:pt>
                <c:pt idx="4">
                  <c:v>South Ribble Distributor</c:v>
                </c:pt>
                <c:pt idx="5">
                  <c:v>Penwortham Bypass</c:v>
                </c:pt>
                <c:pt idx="6">
                  <c:v>South Ribble infrastructure</c:v>
                </c:pt>
                <c:pt idx="7">
                  <c:v>Transport Corridors</c:v>
                </c:pt>
                <c:pt idx="8">
                  <c:v>Education Provision</c:v>
                </c:pt>
                <c:pt idx="9">
                  <c:v>Community Provision </c:v>
                </c:pt>
                <c:pt idx="10">
                  <c:v>Other Schemes</c:v>
                </c:pt>
                <c:pt idx="12">
                  <c:v>Total</c:v>
                </c:pt>
              </c:strCache>
            </c:strRef>
          </c:cat>
          <c:val>
            <c:numRef>
              <c:f>'Monitoring report &amp; tables'!$G$346:$G$356</c:f>
              <c:numCache>
                <c:formatCode>_-* #,##0.000_-;\-* #,##0.000_-;_-* "-"??_-;_-@_-</c:formatCode>
                <c:ptCount val="9"/>
                <c:pt idx="0">
                  <c:v>12.665107142857142</c:v>
                </c:pt>
                <c:pt idx="1">
                  <c:v>22.657999999999998</c:v>
                </c:pt>
                <c:pt idx="2">
                  <c:v>4</c:v>
                </c:pt>
                <c:pt idx="3">
                  <c:v>15.577999999999999</c:v>
                </c:pt>
                <c:pt idx="4">
                  <c:v>17.356571428571428</c:v>
                </c:pt>
                <c:pt idx="5">
                  <c:v>19.469000000000001</c:v>
                </c:pt>
                <c:pt idx="6">
                  <c:v>14.375</c:v>
                </c:pt>
                <c:pt idx="7">
                  <c:v>3.8859000000000004</c:v>
                </c:pt>
                <c:pt idx="8">
                  <c:v>5.9201713542263024</c:v>
                </c:pt>
              </c:numCache>
            </c:numRef>
          </c:val>
        </c:ser>
        <c:ser>
          <c:idx val="10"/>
          <c:order val="2"/>
          <c:tx>
            <c:strRef>
              <c:f>'Monitoring report &amp; tables'!$L$342</c:f>
              <c:strCache>
                <c:ptCount val="1"/>
                <c:pt idx="0">
                  <c:v>Actuals Qtr 1&amp;2 2017/18</c:v>
                </c:pt>
              </c:strCache>
            </c:strRef>
          </c:tx>
          <c:spPr>
            <a:solidFill>
              <a:schemeClr val="bg1">
                <a:lumMod val="75000"/>
              </a:schemeClr>
            </a:solidFill>
            <a:ln>
              <a:noFill/>
            </a:ln>
            <a:effectLst/>
          </c:spPr>
          <c:invertIfNegative val="0"/>
          <c:dLbls>
            <c:spPr>
              <a:noFill/>
              <a:ln>
                <a:noFill/>
              </a:ln>
              <a:effectLst/>
            </c:spPr>
            <c:txPr>
              <a:bodyPr rot="-27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'Monitoring report &amp; tables'!$A$344:$A$358</c:f>
              <c:strCache>
                <c:ptCount val="13"/>
                <c:pt idx="0">
                  <c:v>Broughton Congestion Relief</c:v>
                </c:pt>
                <c:pt idx="1">
                  <c:v>Preston Western Distributor</c:v>
                </c:pt>
                <c:pt idx="2">
                  <c:v>North West Preston Infrastructure</c:v>
                </c:pt>
                <c:pt idx="3">
                  <c:v>City Centre Projects</c:v>
                </c:pt>
                <c:pt idx="4">
                  <c:v>South Ribble Distributor</c:v>
                </c:pt>
                <c:pt idx="5">
                  <c:v>Penwortham Bypass</c:v>
                </c:pt>
                <c:pt idx="6">
                  <c:v>South Ribble infrastructure</c:v>
                </c:pt>
                <c:pt idx="7">
                  <c:v>Transport Corridors</c:v>
                </c:pt>
                <c:pt idx="8">
                  <c:v>Education Provision</c:v>
                </c:pt>
                <c:pt idx="9">
                  <c:v>Community Provision </c:v>
                </c:pt>
                <c:pt idx="10">
                  <c:v>Other Schemes</c:v>
                </c:pt>
                <c:pt idx="12">
                  <c:v>Total</c:v>
                </c:pt>
              </c:strCache>
            </c:strRef>
          </c:cat>
          <c:val>
            <c:numRef>
              <c:f>'Monitoring report &amp; tables'!$L$346:$L$356</c:f>
              <c:numCache>
                <c:formatCode>_-* #,##0.000_-;\-* #,##0.000_-;_-* "-"??_-;_-@_-</c:formatCode>
                <c:ptCount val="9"/>
                <c:pt idx="0">
                  <c:v>0.28499999999999998</c:v>
                </c:pt>
                <c:pt idx="1">
                  <c:v>6.2320000000000002</c:v>
                </c:pt>
                <c:pt idx="2">
                  <c:v>1.569</c:v>
                </c:pt>
                <c:pt idx="3">
                  <c:v>0.31</c:v>
                </c:pt>
                <c:pt idx="4">
                  <c:v>6.4000000000000001E-2</c:v>
                </c:pt>
                <c:pt idx="5">
                  <c:v>1.2010000000000001</c:v>
                </c:pt>
                <c:pt idx="6">
                  <c:v>0</c:v>
                </c:pt>
                <c:pt idx="7">
                  <c:v>1.2949999999999999</c:v>
                </c:pt>
                <c:pt idx="8">
                  <c:v>9.8000000000000004E-2</c:v>
                </c:pt>
              </c:numCache>
            </c:numRef>
          </c:val>
        </c:ser>
        <c:dLbls>
          <c:showLegendKey val="0"/>
          <c:showVal val="0"/>
          <c:showCatName val="0"/>
          <c:showSerName val="0"/>
          <c:showPercent val="0"/>
          <c:showBubbleSize val="0"/>
        </c:dLbls>
        <c:gapWidth val="219"/>
        <c:overlap val="-27"/>
        <c:axId val="311527400"/>
        <c:axId val="311540072"/>
      </c:barChart>
      <c:catAx>
        <c:axId val="3115274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11540072"/>
        <c:crosses val="autoZero"/>
        <c:auto val="1"/>
        <c:lblAlgn val="ctr"/>
        <c:lblOffset val="100"/>
        <c:noMultiLvlLbl val="0"/>
      </c:catAx>
      <c:valAx>
        <c:axId val="311540072"/>
        <c:scaling>
          <c:orientation val="minMax"/>
        </c:scaling>
        <c:delete val="0"/>
        <c:axPos val="l"/>
        <c:majorGridlines>
          <c:spPr>
            <a:ln w="9525">
              <a:solidFill>
                <a:schemeClr val="tx1">
                  <a:lumMod val="15000"/>
                  <a:lumOff val="85000"/>
                </a:schemeClr>
              </a:solidFill>
              <a:round/>
            </a:ln>
            <a:effectLst/>
          </c:spPr>
        </c:majorGridlines>
        <c:numFmt formatCode="_-* #,##0.000_-;\-* #,##0.000_-;_-* &quot;-&quot;??_-;_-@_-" sourceLinked="1"/>
        <c:majorTickMark val="none"/>
        <c:minorTickMark val="none"/>
        <c:tickLblPos val="nextTo"/>
        <c:spPr>
          <a:noFill/>
          <a:ln>
            <a:noFill/>
          </a:ln>
          <a:effectLst/>
        </c:spPr>
        <c:txPr>
          <a:bodyPr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11527400"/>
        <c:crosses val="autoZero"/>
        <c:crossBetween val="between"/>
      </c:valAx>
      <c:spPr>
        <a:noFill/>
        <a:ln>
          <a:noFill/>
        </a:ln>
        <a:effectLst/>
      </c:spPr>
    </c:plotArea>
    <c:legend>
      <c:legendPos val="r"/>
      <c:layout>
        <c:manualLayout>
          <c:xMode val="edge"/>
          <c:yMode val="edge"/>
          <c:x val="0.39968280610170792"/>
          <c:y val="6.7438859862143402E-2"/>
          <c:w val="0.53129437094238696"/>
          <c:h val="0.1122444273905014"/>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12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352B4-4749-47D9-BBD0-50268DD3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7945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Sage</dc:creator>
  <cp:lastModifiedBy>Milroy, Andy</cp:lastModifiedBy>
  <cp:revision>14</cp:revision>
  <cp:lastPrinted>2015-01-28T14:27:00Z</cp:lastPrinted>
  <dcterms:created xsi:type="dcterms:W3CDTF">2015-03-30T10:11:00Z</dcterms:created>
  <dcterms:modified xsi:type="dcterms:W3CDTF">2017-11-22T16:13:00Z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CAGPMS">
    <vt:lpwstr>OFFICIAL</vt:lpwstr>
  </property>
  <property fmtid="{D5CDD505-2E9C-101B-9397-08002B2CF9AE}" pid="3" name="IssueTitle">
    <vt:lpwstr>City Deal Qtr 2 Finance Report</vt:lpwstr>
  </property>
  <property fmtid="{D5CDD505-2E9C-101B-9397-08002B2CF9AE}" pid="4" name="LeadOfficer">
    <vt:lpwstr>Joanne Ainsworth</vt:lpwstr>
  </property>
  <property fmtid="{D5CDD505-2E9C-101B-9397-08002B2CF9AE}" pid="5" name="LeadOfficerEmail">
    <vt:lpwstr>joanne.ainsworth@lancashire.gov.uk</vt:lpwstr>
  </property>
  <property fmtid="{D5CDD505-2E9C-101B-9397-08002B2CF9AE}" pid="6" name="LeadOfficerTel">
    <vt:lpwstr/>
  </property>
  <property fmtid="{D5CDD505-2E9C-101B-9397-08002B2CF9AE}" pid="7" name="MeetingDate">
    <vt:lpwstr>Wednesday, 29 November 2017</vt:lpwstr>
  </property>
  <property fmtid="{D5CDD505-2E9C-101B-9397-08002B2CF9AE}" pid="8" name="TitusGUID">
    <vt:lpwstr>b16076df-281e-485b-ac3b-6fbc29115d7d</vt:lpwstr>
  </property>
</Properties>
</file>